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7ED1" w14:textId="1E176782" w:rsidR="004B23A5" w:rsidRDefault="00AE0F10" w:rsidP="00321107">
      <w:pPr>
        <w:pStyle w:val="Default"/>
        <w:jc w:val="center"/>
        <w:rPr>
          <w:b/>
          <w:bCs/>
          <w:sz w:val="22"/>
          <w:szCs w:val="22"/>
        </w:rPr>
      </w:pPr>
      <w:r w:rsidRPr="00321107">
        <w:rPr>
          <w:b/>
          <w:bCs/>
          <w:sz w:val="22"/>
          <w:szCs w:val="22"/>
        </w:rPr>
        <w:t xml:space="preserve">McGovern Medical School </w:t>
      </w:r>
      <w:r w:rsidR="007011C0" w:rsidRPr="007011C0">
        <w:rPr>
          <w:rFonts w:ascii="Cambria Math" w:hAnsi="Cambria Math" w:cs="Cambria Math"/>
          <w:bCs/>
          <w:sz w:val="22"/>
          <w:szCs w:val="22"/>
        </w:rPr>
        <w:t>∣</w:t>
      </w:r>
      <w:r w:rsidR="007011C0">
        <w:rPr>
          <w:b/>
          <w:bCs/>
          <w:sz w:val="22"/>
          <w:szCs w:val="22"/>
        </w:rPr>
        <w:t xml:space="preserve"> </w:t>
      </w:r>
      <w:r w:rsidR="004B23A5">
        <w:rPr>
          <w:b/>
          <w:bCs/>
          <w:sz w:val="22"/>
          <w:szCs w:val="22"/>
        </w:rPr>
        <w:t>UTHealth Houston</w:t>
      </w:r>
    </w:p>
    <w:p w14:paraId="5EC44B18" w14:textId="77C41D28" w:rsidR="00321107" w:rsidRPr="00321107" w:rsidRDefault="00AE0F10" w:rsidP="00321107">
      <w:pPr>
        <w:pStyle w:val="Default"/>
        <w:jc w:val="center"/>
        <w:rPr>
          <w:b/>
          <w:bCs/>
          <w:sz w:val="22"/>
          <w:szCs w:val="22"/>
        </w:rPr>
      </w:pPr>
      <w:r w:rsidRPr="00321107">
        <w:rPr>
          <w:b/>
          <w:bCs/>
          <w:sz w:val="22"/>
          <w:szCs w:val="22"/>
        </w:rPr>
        <w:t>Faculty Senate</w:t>
      </w:r>
    </w:p>
    <w:p w14:paraId="15F9DD9C" w14:textId="77777777" w:rsidR="007011C0" w:rsidRDefault="00AE0F10" w:rsidP="00321107">
      <w:pPr>
        <w:pStyle w:val="Default"/>
        <w:jc w:val="center"/>
        <w:rPr>
          <w:sz w:val="22"/>
          <w:szCs w:val="22"/>
        </w:rPr>
      </w:pPr>
      <w:r w:rsidRPr="00321107">
        <w:rPr>
          <w:sz w:val="22"/>
          <w:szCs w:val="22"/>
        </w:rPr>
        <w:t xml:space="preserve">Thursday, June 15, 2023 </w:t>
      </w:r>
      <w:r w:rsidRPr="00321107">
        <w:rPr>
          <w:rFonts w:ascii="Cambria Math" w:hAnsi="Cambria Math" w:cs="Cambria Math"/>
          <w:sz w:val="22"/>
          <w:szCs w:val="22"/>
        </w:rPr>
        <w:t>∣</w:t>
      </w:r>
      <w:r w:rsidRPr="00321107">
        <w:rPr>
          <w:sz w:val="22"/>
          <w:szCs w:val="22"/>
        </w:rPr>
        <w:t xml:space="preserve"> 4:30 pm </w:t>
      </w:r>
    </w:p>
    <w:p w14:paraId="2B81BFF2" w14:textId="7747BBBB" w:rsidR="00AE0F10" w:rsidRPr="00321107" w:rsidRDefault="00AE0F10" w:rsidP="00321107">
      <w:pPr>
        <w:pStyle w:val="Default"/>
        <w:jc w:val="center"/>
        <w:rPr>
          <w:sz w:val="22"/>
          <w:szCs w:val="22"/>
        </w:rPr>
      </w:pPr>
      <w:r w:rsidRPr="00321107">
        <w:rPr>
          <w:sz w:val="22"/>
          <w:szCs w:val="22"/>
        </w:rPr>
        <w:t>Zoom Meeting</w:t>
      </w:r>
    </w:p>
    <w:p w14:paraId="2BAD73CB" w14:textId="77777777" w:rsidR="00AE0F10" w:rsidRPr="00321107" w:rsidRDefault="00AE0F10" w:rsidP="00321107">
      <w:pPr>
        <w:pStyle w:val="Default"/>
        <w:jc w:val="center"/>
        <w:rPr>
          <w:b/>
          <w:bCs/>
          <w:sz w:val="22"/>
          <w:szCs w:val="22"/>
        </w:rPr>
      </w:pPr>
    </w:p>
    <w:p w14:paraId="383FF429" w14:textId="77777777" w:rsidR="00AE0F10" w:rsidRPr="00321107" w:rsidRDefault="00321107" w:rsidP="00321107">
      <w:pPr>
        <w:pStyle w:val="Default"/>
        <w:jc w:val="center"/>
        <w:rPr>
          <w:sz w:val="22"/>
          <w:szCs w:val="22"/>
        </w:rPr>
      </w:pPr>
      <w:r w:rsidRPr="00321107">
        <w:rPr>
          <w:b/>
          <w:bCs/>
          <w:sz w:val="22"/>
          <w:szCs w:val="22"/>
        </w:rPr>
        <w:t>Minutes</w:t>
      </w:r>
    </w:p>
    <w:p w14:paraId="08869254" w14:textId="77777777" w:rsidR="00AE0F10" w:rsidRPr="00321107" w:rsidRDefault="00AE0F10" w:rsidP="00AE0F10">
      <w:pPr>
        <w:pStyle w:val="Default"/>
        <w:rPr>
          <w:sz w:val="22"/>
          <w:szCs w:val="22"/>
        </w:rPr>
      </w:pPr>
    </w:p>
    <w:p w14:paraId="2DA8544B" w14:textId="77777777" w:rsidR="00AE0F10" w:rsidRPr="00321107" w:rsidRDefault="00AE0F10" w:rsidP="00AE0F10">
      <w:pPr>
        <w:pStyle w:val="Default"/>
        <w:rPr>
          <w:sz w:val="22"/>
          <w:szCs w:val="22"/>
        </w:rPr>
      </w:pPr>
      <w:r w:rsidRPr="00321107">
        <w:rPr>
          <w:sz w:val="22"/>
          <w:szCs w:val="22"/>
        </w:rPr>
        <w:t xml:space="preserve">1.Call to </w:t>
      </w:r>
      <w:proofErr w:type="gramStart"/>
      <w:r w:rsidRPr="00321107">
        <w:rPr>
          <w:sz w:val="22"/>
          <w:szCs w:val="22"/>
        </w:rPr>
        <w:t>Order :</w:t>
      </w:r>
      <w:proofErr w:type="gramEnd"/>
      <w:r w:rsidRPr="00321107">
        <w:rPr>
          <w:sz w:val="22"/>
          <w:szCs w:val="22"/>
        </w:rPr>
        <w:t xml:space="preserve"> 4:30pm</w:t>
      </w:r>
    </w:p>
    <w:p w14:paraId="2DB6886E" w14:textId="77777777" w:rsidR="00AE0F10" w:rsidRPr="00321107" w:rsidRDefault="00AE0F10" w:rsidP="00AE0F10">
      <w:pPr>
        <w:pStyle w:val="Default"/>
        <w:rPr>
          <w:sz w:val="22"/>
          <w:szCs w:val="22"/>
        </w:rPr>
      </w:pPr>
    </w:p>
    <w:p w14:paraId="4E9CACDE" w14:textId="77777777" w:rsidR="00AE0F10" w:rsidRPr="00321107" w:rsidRDefault="00AE0F10" w:rsidP="00AE0F10">
      <w:pPr>
        <w:pStyle w:val="Default"/>
        <w:rPr>
          <w:sz w:val="22"/>
          <w:szCs w:val="22"/>
        </w:rPr>
      </w:pPr>
      <w:r w:rsidRPr="00321107">
        <w:rPr>
          <w:sz w:val="22"/>
          <w:szCs w:val="22"/>
        </w:rPr>
        <w:t xml:space="preserve">2. Housekeeping </w:t>
      </w:r>
    </w:p>
    <w:p w14:paraId="6BA0905F" w14:textId="77777777" w:rsidR="00AE0F10" w:rsidRPr="00321107" w:rsidRDefault="00AE0F10" w:rsidP="00AE0F10">
      <w:pPr>
        <w:pStyle w:val="Default"/>
        <w:rPr>
          <w:sz w:val="22"/>
          <w:szCs w:val="22"/>
        </w:rPr>
      </w:pPr>
    </w:p>
    <w:p w14:paraId="09CF708B" w14:textId="77777777" w:rsidR="00AE0F10" w:rsidRPr="00321107" w:rsidRDefault="00AE0F10" w:rsidP="00AE0F10">
      <w:pPr>
        <w:pStyle w:val="Default"/>
        <w:rPr>
          <w:sz w:val="22"/>
          <w:szCs w:val="22"/>
        </w:rPr>
      </w:pPr>
      <w:r w:rsidRPr="00321107">
        <w:rPr>
          <w:sz w:val="22"/>
          <w:szCs w:val="22"/>
        </w:rPr>
        <w:t xml:space="preserve">3. Approval of Minutes - May 2023 </w:t>
      </w:r>
    </w:p>
    <w:p w14:paraId="761D4ADA" w14:textId="77777777" w:rsidR="00AE0F10" w:rsidRPr="00321107" w:rsidRDefault="00AE0F10" w:rsidP="00AE0F10">
      <w:pPr>
        <w:pStyle w:val="Default"/>
        <w:rPr>
          <w:sz w:val="22"/>
          <w:szCs w:val="22"/>
        </w:rPr>
      </w:pPr>
    </w:p>
    <w:p w14:paraId="5CCD7C8A" w14:textId="77777777" w:rsidR="00AE0F10" w:rsidRPr="00321107" w:rsidRDefault="00AE0F10" w:rsidP="00AE0F10">
      <w:pPr>
        <w:pStyle w:val="Default"/>
        <w:rPr>
          <w:sz w:val="22"/>
          <w:szCs w:val="22"/>
        </w:rPr>
      </w:pPr>
      <w:r w:rsidRPr="00321107">
        <w:rPr>
          <w:sz w:val="22"/>
          <w:szCs w:val="22"/>
        </w:rPr>
        <w:t xml:space="preserve">4. Reports </w:t>
      </w:r>
    </w:p>
    <w:p w14:paraId="522F90D3" w14:textId="77777777" w:rsidR="00AE0F10" w:rsidRPr="00321107" w:rsidRDefault="00AE0F10" w:rsidP="00AE0F10">
      <w:pPr>
        <w:pStyle w:val="Default"/>
        <w:rPr>
          <w:sz w:val="22"/>
          <w:szCs w:val="22"/>
        </w:rPr>
      </w:pPr>
      <w:r w:rsidRPr="00321107">
        <w:rPr>
          <w:sz w:val="22"/>
          <w:szCs w:val="22"/>
        </w:rPr>
        <w:t xml:space="preserve">a. Faculty Affairs Update – Dr. Kevin </w:t>
      </w:r>
      <w:proofErr w:type="spellStart"/>
      <w:r w:rsidRPr="00321107">
        <w:rPr>
          <w:sz w:val="22"/>
          <w:szCs w:val="22"/>
        </w:rPr>
        <w:t>Morano</w:t>
      </w:r>
      <w:proofErr w:type="spellEnd"/>
      <w:r w:rsidRPr="00321107">
        <w:rPr>
          <w:sz w:val="22"/>
          <w:szCs w:val="22"/>
        </w:rPr>
        <w:t xml:space="preserve">, Senior Vice President for Academic and Faculty Affairs </w:t>
      </w:r>
    </w:p>
    <w:p w14:paraId="05D3CE90" w14:textId="77777777" w:rsidR="00AE0F10" w:rsidRPr="00321107" w:rsidRDefault="00321107" w:rsidP="00AE0F10">
      <w:pPr>
        <w:pStyle w:val="Default"/>
        <w:numPr>
          <w:ilvl w:val="0"/>
          <w:numId w:val="3"/>
        </w:numPr>
        <w:rPr>
          <w:sz w:val="22"/>
          <w:szCs w:val="22"/>
        </w:rPr>
      </w:pPr>
      <w:r>
        <w:rPr>
          <w:b/>
          <w:sz w:val="22"/>
          <w:szCs w:val="22"/>
        </w:rPr>
        <w:t>Diversity, Equity &amp; Inclusion (</w:t>
      </w:r>
      <w:r w:rsidR="00AE0F10" w:rsidRPr="00321107">
        <w:rPr>
          <w:b/>
          <w:sz w:val="22"/>
          <w:szCs w:val="22"/>
        </w:rPr>
        <w:t>DEI</w:t>
      </w:r>
      <w:r>
        <w:rPr>
          <w:b/>
          <w:sz w:val="22"/>
          <w:szCs w:val="22"/>
        </w:rPr>
        <w:t>)</w:t>
      </w:r>
      <w:r w:rsidR="00AE0F10" w:rsidRPr="00321107">
        <w:rPr>
          <w:b/>
          <w:sz w:val="22"/>
          <w:szCs w:val="22"/>
        </w:rPr>
        <w:t xml:space="preserve"> update</w:t>
      </w:r>
      <w:r w:rsidR="00E84F50" w:rsidRPr="00321107">
        <w:rPr>
          <w:b/>
          <w:sz w:val="22"/>
          <w:szCs w:val="22"/>
        </w:rPr>
        <w:t xml:space="preserve"> Summary</w:t>
      </w:r>
      <w:r>
        <w:rPr>
          <w:b/>
          <w:sz w:val="22"/>
          <w:szCs w:val="22"/>
        </w:rPr>
        <w:t xml:space="preserve"> of SB 17</w:t>
      </w:r>
      <w:r w:rsidR="00AE0F10" w:rsidRPr="00321107">
        <w:rPr>
          <w:sz w:val="22"/>
          <w:szCs w:val="22"/>
        </w:rPr>
        <w:t>:</w:t>
      </w:r>
    </w:p>
    <w:p w14:paraId="29A830F9" w14:textId="77777777" w:rsidR="00E84F50" w:rsidRPr="00321107" w:rsidRDefault="00E84F50" w:rsidP="00E84F50">
      <w:pPr>
        <w:pStyle w:val="Default"/>
        <w:ind w:left="720"/>
        <w:rPr>
          <w:sz w:val="22"/>
          <w:szCs w:val="22"/>
        </w:rPr>
      </w:pPr>
      <w:r w:rsidRPr="00321107">
        <w:rPr>
          <w:sz w:val="22"/>
          <w:szCs w:val="22"/>
        </w:rPr>
        <w:t>The Board of Regents shall ensure each academic and administrative unit of the institutions of higher education overseen by the board:</w:t>
      </w:r>
    </w:p>
    <w:p w14:paraId="346B7EF3" w14:textId="77777777" w:rsidR="00E84F50" w:rsidRPr="00321107" w:rsidRDefault="00E84F50" w:rsidP="00E84F50">
      <w:pPr>
        <w:pStyle w:val="Default"/>
        <w:ind w:left="720"/>
        <w:rPr>
          <w:sz w:val="22"/>
          <w:szCs w:val="22"/>
        </w:rPr>
      </w:pPr>
      <w:r w:rsidRPr="00321107">
        <w:rPr>
          <w:sz w:val="22"/>
          <w:szCs w:val="22"/>
        </w:rPr>
        <w:t>• Shall not establish or maintain a DEI office, division, unit or other role;</w:t>
      </w:r>
    </w:p>
    <w:p w14:paraId="1AF1F67D" w14:textId="77777777" w:rsidR="00E84F50" w:rsidRPr="00321107" w:rsidRDefault="00E84F50" w:rsidP="00E84F50">
      <w:pPr>
        <w:pStyle w:val="Default"/>
        <w:ind w:left="720"/>
        <w:rPr>
          <w:sz w:val="22"/>
          <w:szCs w:val="22"/>
        </w:rPr>
      </w:pPr>
      <w:r w:rsidRPr="00321107">
        <w:rPr>
          <w:sz w:val="22"/>
          <w:szCs w:val="22"/>
        </w:rPr>
        <w:t>• Shall not hire or assign an employee or contract with a third party to perform the duties of a DEI office;</w:t>
      </w:r>
    </w:p>
    <w:p w14:paraId="4F89D474" w14:textId="77777777" w:rsidR="00E84F50" w:rsidRPr="00321107" w:rsidRDefault="00E84F50" w:rsidP="00E84F50">
      <w:pPr>
        <w:pStyle w:val="Default"/>
        <w:ind w:left="720"/>
        <w:rPr>
          <w:sz w:val="22"/>
          <w:szCs w:val="22"/>
        </w:rPr>
      </w:pPr>
      <w:r w:rsidRPr="00321107">
        <w:rPr>
          <w:sz w:val="22"/>
          <w:szCs w:val="22"/>
        </w:rPr>
        <w:t>• Shall not require, induce, solicit or provide preferential consideration to any applicant,</w:t>
      </w:r>
    </w:p>
    <w:p w14:paraId="75A84512" w14:textId="77777777" w:rsidR="00E84F50" w:rsidRPr="00321107" w:rsidRDefault="00E84F50" w:rsidP="00E84F50">
      <w:pPr>
        <w:pStyle w:val="Default"/>
        <w:ind w:left="720"/>
        <w:rPr>
          <w:sz w:val="22"/>
          <w:szCs w:val="22"/>
        </w:rPr>
      </w:pPr>
      <w:r w:rsidRPr="00321107">
        <w:rPr>
          <w:sz w:val="22"/>
          <w:szCs w:val="22"/>
        </w:rPr>
        <w:t>employee, student, contractor, or other individual to provide a diversity, equity, and inclusion</w:t>
      </w:r>
    </w:p>
    <w:p w14:paraId="536EC90F" w14:textId="77777777" w:rsidR="00E84F50" w:rsidRPr="00321107" w:rsidRDefault="00E84F50" w:rsidP="00E84F50">
      <w:pPr>
        <w:pStyle w:val="Default"/>
        <w:ind w:left="720"/>
        <w:rPr>
          <w:sz w:val="22"/>
          <w:szCs w:val="22"/>
        </w:rPr>
      </w:pPr>
      <w:r w:rsidRPr="00321107">
        <w:rPr>
          <w:sz w:val="22"/>
          <w:szCs w:val="22"/>
        </w:rPr>
        <w:t>statement;</w:t>
      </w:r>
    </w:p>
    <w:p w14:paraId="5C243883" w14:textId="77777777" w:rsidR="00E84F50" w:rsidRPr="00321107" w:rsidRDefault="00E84F50" w:rsidP="00E84F50">
      <w:pPr>
        <w:pStyle w:val="Default"/>
        <w:ind w:left="720"/>
        <w:rPr>
          <w:sz w:val="22"/>
          <w:szCs w:val="22"/>
        </w:rPr>
      </w:pPr>
      <w:r w:rsidRPr="00321107">
        <w:rPr>
          <w:sz w:val="22"/>
          <w:szCs w:val="22"/>
        </w:rPr>
        <w:t>• Shall not grant preference on the basis of race, sex, color, ethnicity, or national origin to an</w:t>
      </w:r>
    </w:p>
    <w:p w14:paraId="7498E14A" w14:textId="77777777" w:rsidR="00E84F50" w:rsidRPr="00321107" w:rsidRDefault="00E84F50" w:rsidP="00E84F50">
      <w:pPr>
        <w:pStyle w:val="Default"/>
        <w:ind w:left="720"/>
        <w:rPr>
          <w:sz w:val="22"/>
          <w:szCs w:val="22"/>
        </w:rPr>
      </w:pPr>
      <w:r w:rsidRPr="00321107">
        <w:rPr>
          <w:sz w:val="22"/>
          <w:szCs w:val="22"/>
        </w:rPr>
        <w:t>applicant for employment, a candidate for promotion, a candidate for tenure, or a participant in any function by the institution;</w:t>
      </w:r>
    </w:p>
    <w:p w14:paraId="2807BCB6" w14:textId="77777777" w:rsidR="00E84F50" w:rsidRPr="00321107" w:rsidRDefault="00E84F50" w:rsidP="00E84F50">
      <w:pPr>
        <w:pStyle w:val="Default"/>
        <w:ind w:left="720"/>
        <w:rPr>
          <w:sz w:val="22"/>
          <w:szCs w:val="22"/>
        </w:rPr>
      </w:pPr>
      <w:r w:rsidRPr="00321107">
        <w:rPr>
          <w:sz w:val="22"/>
          <w:szCs w:val="22"/>
        </w:rPr>
        <w:t>• Shall not require or make mandatory diversity, equity, and inclusion training;</w:t>
      </w:r>
    </w:p>
    <w:p w14:paraId="4BDF4A17" w14:textId="77777777" w:rsidR="00E84F50" w:rsidRPr="00321107" w:rsidRDefault="00E84F50" w:rsidP="00E84F50">
      <w:pPr>
        <w:pStyle w:val="Default"/>
        <w:ind w:left="720"/>
        <w:rPr>
          <w:sz w:val="22"/>
          <w:szCs w:val="22"/>
        </w:rPr>
      </w:pPr>
      <w:r w:rsidRPr="00321107">
        <w:rPr>
          <w:sz w:val="22"/>
          <w:szCs w:val="22"/>
        </w:rPr>
        <w:t>• The bill would not limit or prohibit an institution of higher education or an employee of an</w:t>
      </w:r>
    </w:p>
    <w:p w14:paraId="502A2221" w14:textId="77777777" w:rsidR="00E84F50" w:rsidRPr="00321107" w:rsidRDefault="00E84F50" w:rsidP="00E84F50">
      <w:pPr>
        <w:pStyle w:val="Default"/>
        <w:ind w:left="720"/>
        <w:rPr>
          <w:sz w:val="22"/>
          <w:szCs w:val="22"/>
        </w:rPr>
      </w:pPr>
      <w:r w:rsidRPr="00321107">
        <w:rPr>
          <w:sz w:val="22"/>
          <w:szCs w:val="22"/>
        </w:rPr>
        <w:t>institution of higher education from, for purposes of applying for a grant or complying with the terms of accreditation by an accrediting agency, submitting to the grantor or acceding agency a statement that: 1) highlights the institution's work in supporting first generation students, low income students, or underserved student populations, or 2) certifies compliance with state and federal antidiscrimination laws.</w:t>
      </w:r>
    </w:p>
    <w:p w14:paraId="7B6C3AA7" w14:textId="77777777" w:rsidR="00AE0F10" w:rsidRPr="00321107" w:rsidRDefault="00E84F50" w:rsidP="00E84F50">
      <w:pPr>
        <w:pStyle w:val="Default"/>
        <w:numPr>
          <w:ilvl w:val="0"/>
          <w:numId w:val="3"/>
        </w:numPr>
        <w:rPr>
          <w:sz w:val="22"/>
          <w:szCs w:val="22"/>
        </w:rPr>
      </w:pPr>
      <w:r w:rsidRPr="00321107">
        <w:rPr>
          <w:sz w:val="22"/>
          <w:szCs w:val="22"/>
        </w:rPr>
        <w:t xml:space="preserve">Bill exemptions: </w:t>
      </w:r>
      <w:r w:rsidR="00321107">
        <w:rPr>
          <w:sz w:val="22"/>
          <w:szCs w:val="22"/>
        </w:rPr>
        <w:t>a</w:t>
      </w:r>
      <w:r w:rsidRPr="00321107">
        <w:rPr>
          <w:sz w:val="22"/>
          <w:szCs w:val="22"/>
        </w:rPr>
        <w:t xml:space="preserve">cademic course instruction; </w:t>
      </w:r>
      <w:r w:rsidR="00321107">
        <w:rPr>
          <w:sz w:val="22"/>
          <w:szCs w:val="22"/>
        </w:rPr>
        <w:t>s</w:t>
      </w:r>
      <w:r w:rsidRPr="00321107">
        <w:rPr>
          <w:sz w:val="22"/>
          <w:szCs w:val="22"/>
        </w:rPr>
        <w:t xml:space="preserve">cholarly research; </w:t>
      </w:r>
      <w:r w:rsidR="00321107">
        <w:rPr>
          <w:sz w:val="22"/>
          <w:szCs w:val="22"/>
        </w:rPr>
        <w:t>a</w:t>
      </w:r>
      <w:r w:rsidRPr="00321107">
        <w:rPr>
          <w:sz w:val="22"/>
          <w:szCs w:val="22"/>
        </w:rPr>
        <w:t xml:space="preserve">ctivities of registered student organizations; </w:t>
      </w:r>
      <w:r w:rsidR="00321107">
        <w:rPr>
          <w:sz w:val="22"/>
          <w:szCs w:val="22"/>
        </w:rPr>
        <w:t>g</w:t>
      </w:r>
      <w:r w:rsidRPr="00321107">
        <w:rPr>
          <w:sz w:val="22"/>
          <w:szCs w:val="22"/>
        </w:rPr>
        <w:t xml:space="preserve">uest speakers and performers; </w:t>
      </w:r>
      <w:r w:rsidR="00321107">
        <w:rPr>
          <w:sz w:val="22"/>
          <w:szCs w:val="22"/>
        </w:rPr>
        <w:t>p</w:t>
      </w:r>
      <w:r w:rsidRPr="00321107">
        <w:rPr>
          <w:sz w:val="22"/>
          <w:szCs w:val="22"/>
        </w:rPr>
        <w:t xml:space="preserve">rograms to enhance academic achievement that are designed and implemented without regard to race, color, sex, or ethnicity; </w:t>
      </w:r>
      <w:r w:rsidR="00321107">
        <w:rPr>
          <w:sz w:val="22"/>
          <w:szCs w:val="22"/>
        </w:rPr>
        <w:t>d</w:t>
      </w:r>
      <w:r w:rsidRPr="00321107">
        <w:rPr>
          <w:sz w:val="22"/>
          <w:szCs w:val="22"/>
        </w:rPr>
        <w:t xml:space="preserve">ata collection; or </w:t>
      </w:r>
      <w:r w:rsidR="00321107">
        <w:rPr>
          <w:sz w:val="22"/>
          <w:szCs w:val="22"/>
        </w:rPr>
        <w:t>s</w:t>
      </w:r>
      <w:r w:rsidRPr="00321107">
        <w:rPr>
          <w:sz w:val="22"/>
          <w:szCs w:val="22"/>
        </w:rPr>
        <w:t>tudent recruitment and the student admissions process</w:t>
      </w:r>
    </w:p>
    <w:p w14:paraId="021323BD" w14:textId="77777777" w:rsidR="00E84F50" w:rsidRPr="00321107" w:rsidRDefault="00E84F50" w:rsidP="00E84F50">
      <w:pPr>
        <w:pStyle w:val="Default"/>
        <w:numPr>
          <w:ilvl w:val="0"/>
          <w:numId w:val="3"/>
        </w:numPr>
        <w:rPr>
          <w:sz w:val="22"/>
          <w:szCs w:val="22"/>
        </w:rPr>
      </w:pPr>
      <w:r w:rsidRPr="00321107">
        <w:rPr>
          <w:sz w:val="22"/>
          <w:szCs w:val="22"/>
        </w:rPr>
        <w:t xml:space="preserve">Enforcement: employee or contractor can be terminated for violating this policy. </w:t>
      </w:r>
      <w:proofErr w:type="gramStart"/>
      <w:r w:rsidRPr="00321107">
        <w:rPr>
          <w:sz w:val="22"/>
          <w:szCs w:val="22"/>
        </w:rPr>
        <w:t>Also</w:t>
      </w:r>
      <w:proofErr w:type="gramEnd"/>
      <w:r w:rsidRPr="00321107">
        <w:rPr>
          <w:sz w:val="22"/>
          <w:szCs w:val="22"/>
        </w:rPr>
        <w:t xml:space="preserve"> </w:t>
      </w:r>
      <w:r w:rsidR="00321107">
        <w:rPr>
          <w:sz w:val="22"/>
          <w:szCs w:val="22"/>
        </w:rPr>
        <w:t>the s</w:t>
      </w:r>
      <w:r w:rsidRPr="00321107">
        <w:rPr>
          <w:sz w:val="22"/>
          <w:szCs w:val="22"/>
        </w:rPr>
        <w:t xml:space="preserve">tate auditor will provide a compliance audit every four years with penalties </w:t>
      </w:r>
      <w:r w:rsidR="00321107">
        <w:rPr>
          <w:sz w:val="22"/>
          <w:szCs w:val="22"/>
        </w:rPr>
        <w:t xml:space="preserve">for violations resulting </w:t>
      </w:r>
      <w:r w:rsidRPr="00321107">
        <w:rPr>
          <w:sz w:val="22"/>
          <w:szCs w:val="22"/>
        </w:rPr>
        <w:t xml:space="preserve">in </w:t>
      </w:r>
      <w:r w:rsidR="00321107">
        <w:rPr>
          <w:sz w:val="22"/>
          <w:szCs w:val="22"/>
        </w:rPr>
        <w:t xml:space="preserve">loss of </w:t>
      </w:r>
      <w:r w:rsidRPr="00321107">
        <w:rPr>
          <w:sz w:val="22"/>
          <w:szCs w:val="22"/>
        </w:rPr>
        <w:t>formula funding</w:t>
      </w:r>
      <w:r w:rsidR="00DC3219">
        <w:rPr>
          <w:sz w:val="22"/>
          <w:szCs w:val="22"/>
        </w:rPr>
        <w:t>.</w:t>
      </w:r>
    </w:p>
    <w:p w14:paraId="334EC1EF" w14:textId="77777777" w:rsidR="00E84F50" w:rsidRPr="00321107" w:rsidRDefault="00E84F50" w:rsidP="00E84F50">
      <w:pPr>
        <w:pStyle w:val="Default"/>
        <w:rPr>
          <w:sz w:val="22"/>
          <w:szCs w:val="22"/>
        </w:rPr>
      </w:pPr>
    </w:p>
    <w:p w14:paraId="6F72B11C" w14:textId="77777777" w:rsidR="00E84F50" w:rsidRPr="00321107" w:rsidRDefault="00E84F50" w:rsidP="00873910">
      <w:pPr>
        <w:pStyle w:val="Default"/>
        <w:numPr>
          <w:ilvl w:val="0"/>
          <w:numId w:val="3"/>
        </w:numPr>
        <w:rPr>
          <w:b/>
          <w:sz w:val="22"/>
          <w:szCs w:val="22"/>
        </w:rPr>
      </w:pPr>
      <w:r w:rsidRPr="00321107">
        <w:rPr>
          <w:b/>
          <w:sz w:val="22"/>
          <w:szCs w:val="22"/>
        </w:rPr>
        <w:t>Summary of Senate Bill 18 – Tenure Reform</w:t>
      </w:r>
    </w:p>
    <w:p w14:paraId="1E01745D" w14:textId="77777777" w:rsidR="00E84F50" w:rsidRPr="00321107" w:rsidRDefault="00E84F50" w:rsidP="00873910">
      <w:pPr>
        <w:pStyle w:val="Default"/>
        <w:ind w:firstLine="720"/>
        <w:rPr>
          <w:sz w:val="22"/>
          <w:szCs w:val="22"/>
        </w:rPr>
      </w:pPr>
      <w:r w:rsidRPr="00321107">
        <w:rPr>
          <w:sz w:val="22"/>
          <w:szCs w:val="22"/>
        </w:rPr>
        <w:t>The bill’s provisions include:</w:t>
      </w:r>
    </w:p>
    <w:p w14:paraId="38D9CA8F" w14:textId="77777777" w:rsidR="00E84F50" w:rsidRPr="00321107" w:rsidRDefault="00E84F50" w:rsidP="00873910">
      <w:pPr>
        <w:pStyle w:val="Default"/>
        <w:ind w:left="720"/>
        <w:rPr>
          <w:sz w:val="22"/>
          <w:szCs w:val="22"/>
        </w:rPr>
      </w:pPr>
      <w:r w:rsidRPr="00321107">
        <w:rPr>
          <w:sz w:val="22"/>
          <w:szCs w:val="22"/>
        </w:rPr>
        <w:t>• Defines tenure as "'the entitlement of faculty members to continue in their academic positions</w:t>
      </w:r>
      <w:r w:rsidR="00873910" w:rsidRPr="00321107">
        <w:rPr>
          <w:sz w:val="22"/>
          <w:szCs w:val="22"/>
        </w:rPr>
        <w:t xml:space="preserve"> </w:t>
      </w:r>
      <w:r w:rsidRPr="00321107">
        <w:rPr>
          <w:sz w:val="22"/>
          <w:szCs w:val="22"/>
        </w:rPr>
        <w:t>unless dismissed for good cause".</w:t>
      </w:r>
    </w:p>
    <w:p w14:paraId="163CA153" w14:textId="77777777" w:rsidR="00E84F50" w:rsidRPr="00321107" w:rsidRDefault="00E84F50" w:rsidP="00873910">
      <w:pPr>
        <w:pStyle w:val="Default"/>
        <w:ind w:firstLine="720"/>
        <w:rPr>
          <w:sz w:val="22"/>
          <w:szCs w:val="22"/>
        </w:rPr>
      </w:pPr>
      <w:r w:rsidRPr="00321107">
        <w:rPr>
          <w:sz w:val="22"/>
          <w:szCs w:val="22"/>
        </w:rPr>
        <w:t>• Requires the university’s governing board to make the decision to grant tenure, with the</w:t>
      </w:r>
    </w:p>
    <w:p w14:paraId="2F05AAAB" w14:textId="77777777" w:rsidR="00E84F50" w:rsidRPr="00321107" w:rsidRDefault="00E84F50" w:rsidP="00873910">
      <w:pPr>
        <w:pStyle w:val="Default"/>
        <w:ind w:firstLine="720"/>
        <w:rPr>
          <w:sz w:val="22"/>
          <w:szCs w:val="22"/>
        </w:rPr>
      </w:pPr>
      <w:r w:rsidRPr="00321107">
        <w:rPr>
          <w:sz w:val="22"/>
          <w:szCs w:val="22"/>
        </w:rPr>
        <w:t>recommendation from the institution's president and system’s chancellor.</w:t>
      </w:r>
    </w:p>
    <w:p w14:paraId="077140D6" w14:textId="77777777" w:rsidR="00E84F50" w:rsidRPr="00321107" w:rsidRDefault="00E84F50" w:rsidP="00873910">
      <w:pPr>
        <w:pStyle w:val="Default"/>
        <w:ind w:left="720"/>
        <w:rPr>
          <w:sz w:val="22"/>
          <w:szCs w:val="22"/>
        </w:rPr>
      </w:pPr>
      <w:r w:rsidRPr="00321107">
        <w:rPr>
          <w:sz w:val="22"/>
          <w:szCs w:val="22"/>
        </w:rPr>
        <w:t>• States a faculty member’s property interest with tenure is only limited to their “regular annual</w:t>
      </w:r>
      <w:r w:rsidR="00873910" w:rsidRPr="00321107">
        <w:rPr>
          <w:sz w:val="22"/>
          <w:szCs w:val="22"/>
        </w:rPr>
        <w:t xml:space="preserve"> </w:t>
      </w:r>
      <w:r w:rsidRPr="00321107">
        <w:rPr>
          <w:sz w:val="22"/>
          <w:szCs w:val="22"/>
        </w:rPr>
        <w:t>salary”.</w:t>
      </w:r>
    </w:p>
    <w:p w14:paraId="1ED0F5A3" w14:textId="77777777" w:rsidR="00E84F50" w:rsidRPr="00321107" w:rsidRDefault="00E84F50" w:rsidP="00775203">
      <w:pPr>
        <w:pStyle w:val="Default"/>
        <w:ind w:firstLine="720"/>
        <w:rPr>
          <w:sz w:val="22"/>
          <w:szCs w:val="22"/>
        </w:rPr>
      </w:pPr>
      <w:r w:rsidRPr="00321107">
        <w:rPr>
          <w:sz w:val="22"/>
          <w:szCs w:val="22"/>
        </w:rPr>
        <w:t>• Requires institutions to adopt policies covering the following:</w:t>
      </w:r>
    </w:p>
    <w:p w14:paraId="516C21EA" w14:textId="77777777" w:rsidR="00873910" w:rsidRPr="00321107" w:rsidRDefault="00E84F50" w:rsidP="00775203">
      <w:pPr>
        <w:pStyle w:val="Default"/>
        <w:numPr>
          <w:ilvl w:val="0"/>
          <w:numId w:val="14"/>
        </w:numPr>
        <w:rPr>
          <w:sz w:val="22"/>
          <w:szCs w:val="22"/>
        </w:rPr>
      </w:pPr>
      <w:r w:rsidRPr="00321107">
        <w:rPr>
          <w:sz w:val="22"/>
          <w:szCs w:val="22"/>
        </w:rPr>
        <w:t>Granting of tenure.</w:t>
      </w:r>
    </w:p>
    <w:p w14:paraId="3C5DF496" w14:textId="77777777" w:rsidR="00E84F50" w:rsidRPr="00775203" w:rsidRDefault="00E84F50" w:rsidP="00775203">
      <w:pPr>
        <w:pStyle w:val="Default"/>
        <w:numPr>
          <w:ilvl w:val="0"/>
          <w:numId w:val="11"/>
        </w:numPr>
        <w:ind w:left="360" w:firstLine="720"/>
        <w:rPr>
          <w:sz w:val="22"/>
          <w:szCs w:val="22"/>
        </w:rPr>
      </w:pPr>
      <w:r w:rsidRPr="00775203">
        <w:rPr>
          <w:sz w:val="22"/>
          <w:szCs w:val="22"/>
        </w:rPr>
        <w:lastRenderedPageBreak/>
        <w:t>Allowing dismissal of tenured faculty for certain violations, with due process, and these</w:t>
      </w:r>
      <w:r w:rsidR="00775203" w:rsidRPr="00775203">
        <w:rPr>
          <w:sz w:val="22"/>
          <w:szCs w:val="22"/>
        </w:rPr>
        <w:t xml:space="preserve"> </w:t>
      </w:r>
      <w:r w:rsidRPr="00775203">
        <w:rPr>
          <w:sz w:val="22"/>
          <w:szCs w:val="22"/>
        </w:rPr>
        <w:t>violations include the following:</w:t>
      </w:r>
    </w:p>
    <w:p w14:paraId="7B7CEB84" w14:textId="77777777" w:rsidR="00E84F50" w:rsidRPr="00321107" w:rsidRDefault="00873910" w:rsidP="00775203">
      <w:pPr>
        <w:pStyle w:val="Default"/>
        <w:ind w:left="1080"/>
        <w:rPr>
          <w:sz w:val="22"/>
          <w:szCs w:val="22"/>
        </w:rPr>
      </w:pPr>
      <w:r w:rsidRPr="00321107">
        <w:rPr>
          <w:sz w:val="22"/>
          <w:szCs w:val="22"/>
        </w:rPr>
        <w:t>P</w:t>
      </w:r>
      <w:r w:rsidR="00E84F50" w:rsidRPr="00321107">
        <w:rPr>
          <w:sz w:val="22"/>
          <w:szCs w:val="22"/>
        </w:rPr>
        <w:t>rofessional incompetence</w:t>
      </w:r>
      <w:r w:rsidRPr="00321107">
        <w:rPr>
          <w:sz w:val="22"/>
          <w:szCs w:val="22"/>
        </w:rPr>
        <w:t xml:space="preserve">; </w:t>
      </w:r>
      <w:r w:rsidR="00E84F50" w:rsidRPr="00321107">
        <w:rPr>
          <w:sz w:val="22"/>
          <w:szCs w:val="22"/>
        </w:rPr>
        <w:t>repeatedly failed to perform duties</w:t>
      </w:r>
      <w:r w:rsidRPr="00321107">
        <w:rPr>
          <w:sz w:val="22"/>
          <w:szCs w:val="22"/>
        </w:rPr>
        <w:t xml:space="preserve">; </w:t>
      </w:r>
      <w:r w:rsidR="00E84F50" w:rsidRPr="00321107">
        <w:rPr>
          <w:sz w:val="22"/>
          <w:szCs w:val="22"/>
        </w:rPr>
        <w:t>failed to complete a post-tenure review program</w:t>
      </w:r>
      <w:r w:rsidRPr="00321107">
        <w:rPr>
          <w:sz w:val="22"/>
          <w:szCs w:val="22"/>
        </w:rPr>
        <w:t xml:space="preserve">; </w:t>
      </w:r>
      <w:r w:rsidR="00E84F50" w:rsidRPr="00321107">
        <w:rPr>
          <w:sz w:val="22"/>
          <w:szCs w:val="22"/>
        </w:rPr>
        <w:t>moral turpitude</w:t>
      </w:r>
      <w:r w:rsidRPr="00321107">
        <w:rPr>
          <w:sz w:val="22"/>
          <w:szCs w:val="22"/>
        </w:rPr>
        <w:t xml:space="preserve">; </w:t>
      </w:r>
      <w:r w:rsidR="00E84F50" w:rsidRPr="00321107">
        <w:rPr>
          <w:sz w:val="22"/>
          <w:szCs w:val="22"/>
        </w:rPr>
        <w:t>violated laws that affect faculty member's performance</w:t>
      </w:r>
      <w:r w:rsidRPr="00321107">
        <w:rPr>
          <w:sz w:val="22"/>
          <w:szCs w:val="22"/>
        </w:rPr>
        <w:t xml:space="preserve">; </w:t>
      </w:r>
      <w:r w:rsidR="00E84F50" w:rsidRPr="00321107">
        <w:rPr>
          <w:sz w:val="22"/>
          <w:szCs w:val="22"/>
        </w:rPr>
        <w:t>convicted of a crime affecting ability to teach or conduct research</w:t>
      </w:r>
      <w:r w:rsidRPr="00321107">
        <w:rPr>
          <w:sz w:val="22"/>
          <w:szCs w:val="22"/>
        </w:rPr>
        <w:t xml:space="preserve">; </w:t>
      </w:r>
      <w:r w:rsidR="00E84F50" w:rsidRPr="00321107">
        <w:rPr>
          <w:sz w:val="22"/>
          <w:szCs w:val="22"/>
        </w:rPr>
        <w:t>unprofessional conduct</w:t>
      </w:r>
      <w:r w:rsidRPr="00321107">
        <w:rPr>
          <w:sz w:val="22"/>
          <w:szCs w:val="22"/>
        </w:rPr>
        <w:t xml:space="preserve">; </w:t>
      </w:r>
      <w:r w:rsidR="00E84F50" w:rsidRPr="00321107">
        <w:rPr>
          <w:sz w:val="22"/>
          <w:szCs w:val="22"/>
        </w:rPr>
        <w:t>falsified academic credentials</w:t>
      </w:r>
      <w:r w:rsidRPr="00321107">
        <w:rPr>
          <w:sz w:val="22"/>
          <w:szCs w:val="22"/>
        </w:rPr>
        <w:t xml:space="preserve">; </w:t>
      </w:r>
      <w:r w:rsidR="00E84F50" w:rsidRPr="00321107">
        <w:rPr>
          <w:sz w:val="22"/>
          <w:szCs w:val="22"/>
        </w:rPr>
        <w:t>financial exigency or program elimination; and</w:t>
      </w:r>
      <w:r w:rsidRPr="00321107">
        <w:rPr>
          <w:sz w:val="22"/>
          <w:szCs w:val="22"/>
        </w:rPr>
        <w:t xml:space="preserve"> </w:t>
      </w:r>
      <w:r w:rsidR="00E84F50" w:rsidRPr="00321107">
        <w:rPr>
          <w:sz w:val="22"/>
          <w:szCs w:val="22"/>
        </w:rPr>
        <w:t>other good cause as defined by an institution’s policies.</w:t>
      </w:r>
    </w:p>
    <w:p w14:paraId="02641CAB" w14:textId="77777777" w:rsidR="00E84F50" w:rsidRPr="00321107" w:rsidRDefault="00E84F50" w:rsidP="00775203">
      <w:pPr>
        <w:pStyle w:val="Default"/>
        <w:numPr>
          <w:ilvl w:val="0"/>
          <w:numId w:val="15"/>
        </w:numPr>
        <w:rPr>
          <w:sz w:val="22"/>
          <w:szCs w:val="22"/>
        </w:rPr>
      </w:pPr>
      <w:r w:rsidRPr="00321107">
        <w:rPr>
          <w:sz w:val="22"/>
          <w:szCs w:val="22"/>
        </w:rPr>
        <w:t>Periodic performance review for all tenured faculty</w:t>
      </w:r>
    </w:p>
    <w:p w14:paraId="55AC8D62" w14:textId="77777777" w:rsidR="00FD1A02" w:rsidRPr="00321107" w:rsidRDefault="00FD1A02" w:rsidP="00CF3BEA">
      <w:pPr>
        <w:pStyle w:val="Default"/>
        <w:numPr>
          <w:ilvl w:val="0"/>
          <w:numId w:val="15"/>
        </w:numPr>
        <w:rPr>
          <w:sz w:val="22"/>
          <w:szCs w:val="22"/>
        </w:rPr>
      </w:pPr>
      <w:r w:rsidRPr="00321107">
        <w:rPr>
          <w:sz w:val="22"/>
          <w:szCs w:val="22"/>
        </w:rPr>
        <w:t>SB 18 requires the governing board of institutions to file a copy of tenure policies and procedures with Coordinating Board before September 1 of each year.</w:t>
      </w:r>
    </w:p>
    <w:p w14:paraId="0030443C" w14:textId="77777777" w:rsidR="00CF3BEA" w:rsidRDefault="00CF3BEA" w:rsidP="00775203">
      <w:pPr>
        <w:pStyle w:val="Default"/>
        <w:rPr>
          <w:sz w:val="22"/>
          <w:szCs w:val="22"/>
        </w:rPr>
      </w:pPr>
    </w:p>
    <w:p w14:paraId="57B8CA76" w14:textId="6777F649" w:rsidR="00775203" w:rsidRDefault="00775203" w:rsidP="00775203">
      <w:pPr>
        <w:pStyle w:val="Default"/>
        <w:rPr>
          <w:sz w:val="22"/>
          <w:szCs w:val="22"/>
        </w:rPr>
      </w:pPr>
      <w:r>
        <w:rPr>
          <w:sz w:val="22"/>
          <w:szCs w:val="22"/>
        </w:rPr>
        <w:t>The University will continue to promote and defend excellence.</w:t>
      </w:r>
    </w:p>
    <w:p w14:paraId="673BE3E3" w14:textId="77777777" w:rsidR="00775203" w:rsidRDefault="00775203" w:rsidP="00775203">
      <w:pPr>
        <w:pStyle w:val="Default"/>
        <w:rPr>
          <w:sz w:val="22"/>
          <w:szCs w:val="22"/>
        </w:rPr>
      </w:pPr>
      <w:r>
        <w:rPr>
          <w:sz w:val="22"/>
          <w:szCs w:val="22"/>
        </w:rPr>
        <w:t xml:space="preserve">It is anticipated that the </w:t>
      </w:r>
      <w:r w:rsidR="002315C5">
        <w:rPr>
          <w:sz w:val="22"/>
          <w:szCs w:val="22"/>
        </w:rPr>
        <w:t>University will provide guidance related to DEI requirements for grant submissions.</w:t>
      </w:r>
    </w:p>
    <w:p w14:paraId="7FA25F31" w14:textId="77777777" w:rsidR="002315C5" w:rsidRPr="00321107" w:rsidRDefault="002315C5" w:rsidP="00775203">
      <w:pPr>
        <w:pStyle w:val="Default"/>
        <w:rPr>
          <w:sz w:val="22"/>
          <w:szCs w:val="22"/>
        </w:rPr>
      </w:pPr>
    </w:p>
    <w:p w14:paraId="132AD1F1" w14:textId="77777777" w:rsidR="00AE0F10" w:rsidRPr="00321107" w:rsidRDefault="00AE0F10" w:rsidP="00AE0F10">
      <w:pPr>
        <w:pStyle w:val="Default"/>
        <w:rPr>
          <w:sz w:val="22"/>
          <w:szCs w:val="22"/>
        </w:rPr>
      </w:pPr>
      <w:r w:rsidRPr="00321107">
        <w:rPr>
          <w:sz w:val="22"/>
          <w:szCs w:val="22"/>
        </w:rPr>
        <w:t xml:space="preserve">b. Interfaculty Council Update – Dr. Summer Ott, Faculty Senate Chair-Elect </w:t>
      </w:r>
    </w:p>
    <w:p w14:paraId="6CC4B6AE" w14:textId="77777777" w:rsidR="00AE0F10" w:rsidRDefault="00775203" w:rsidP="00AE0F10">
      <w:pPr>
        <w:pStyle w:val="Default"/>
        <w:numPr>
          <w:ilvl w:val="0"/>
          <w:numId w:val="3"/>
        </w:numPr>
        <w:rPr>
          <w:sz w:val="22"/>
          <w:szCs w:val="22"/>
        </w:rPr>
      </w:pPr>
      <w:r>
        <w:rPr>
          <w:sz w:val="22"/>
          <w:szCs w:val="22"/>
        </w:rPr>
        <w:t>The next IFC meeting will be June 21, 2023</w:t>
      </w:r>
    </w:p>
    <w:p w14:paraId="51A130E3" w14:textId="77777777" w:rsidR="00775203" w:rsidRPr="00321107" w:rsidRDefault="00775203" w:rsidP="00775203">
      <w:pPr>
        <w:pStyle w:val="Default"/>
        <w:ind w:left="720"/>
        <w:rPr>
          <w:sz w:val="22"/>
          <w:szCs w:val="22"/>
        </w:rPr>
      </w:pPr>
    </w:p>
    <w:p w14:paraId="2FDD6216" w14:textId="77777777" w:rsidR="002315C5" w:rsidRDefault="00AE0F10" w:rsidP="00AE0F10">
      <w:pPr>
        <w:pStyle w:val="Default"/>
        <w:rPr>
          <w:sz w:val="22"/>
          <w:szCs w:val="22"/>
        </w:rPr>
      </w:pPr>
      <w:r w:rsidRPr="00321107">
        <w:rPr>
          <w:sz w:val="22"/>
          <w:szCs w:val="22"/>
        </w:rPr>
        <w:t xml:space="preserve">c. Graduate Student Education Committee </w:t>
      </w:r>
      <w:r w:rsidR="00873910" w:rsidRPr="00321107">
        <w:rPr>
          <w:sz w:val="22"/>
          <w:szCs w:val="22"/>
        </w:rPr>
        <w:t xml:space="preserve">(GSEC) </w:t>
      </w:r>
      <w:r w:rsidRPr="00321107">
        <w:rPr>
          <w:sz w:val="22"/>
          <w:szCs w:val="22"/>
        </w:rPr>
        <w:t xml:space="preserve">Report – Dr. Kendra Carmon – </w:t>
      </w:r>
      <w:r w:rsidR="0046072D" w:rsidRPr="00321107">
        <w:rPr>
          <w:sz w:val="22"/>
          <w:szCs w:val="22"/>
        </w:rPr>
        <w:t>A</w:t>
      </w:r>
      <w:r w:rsidRPr="00321107">
        <w:rPr>
          <w:sz w:val="22"/>
          <w:szCs w:val="22"/>
        </w:rPr>
        <w:t>ssociate Professor</w:t>
      </w:r>
      <w:r w:rsidR="0046072D" w:rsidRPr="00321107">
        <w:rPr>
          <w:sz w:val="22"/>
          <w:szCs w:val="22"/>
        </w:rPr>
        <w:t xml:space="preserve"> - M</w:t>
      </w:r>
      <w:r w:rsidRPr="00321107">
        <w:rPr>
          <w:sz w:val="22"/>
          <w:szCs w:val="22"/>
        </w:rPr>
        <w:t xml:space="preserve">olecular </w:t>
      </w:r>
      <w:r w:rsidR="0046072D" w:rsidRPr="00321107">
        <w:rPr>
          <w:sz w:val="22"/>
          <w:szCs w:val="22"/>
        </w:rPr>
        <w:t>M</w:t>
      </w:r>
      <w:r w:rsidRPr="00321107">
        <w:rPr>
          <w:sz w:val="22"/>
          <w:szCs w:val="22"/>
        </w:rPr>
        <w:t>edicine, Committee Chair</w:t>
      </w:r>
    </w:p>
    <w:p w14:paraId="5B08B5DD" w14:textId="77777777" w:rsidR="002315C5" w:rsidRDefault="002315C5" w:rsidP="00AE0F10">
      <w:pPr>
        <w:pStyle w:val="Default"/>
        <w:rPr>
          <w:sz w:val="22"/>
          <w:szCs w:val="22"/>
        </w:rPr>
      </w:pPr>
    </w:p>
    <w:p w14:paraId="7835D13F" w14:textId="7E1175A6" w:rsidR="00AE0F10" w:rsidRPr="00321107" w:rsidRDefault="002315C5" w:rsidP="00AE0F10">
      <w:pPr>
        <w:pStyle w:val="Default"/>
        <w:rPr>
          <w:sz w:val="22"/>
          <w:szCs w:val="22"/>
        </w:rPr>
      </w:pPr>
      <w:r>
        <w:rPr>
          <w:sz w:val="22"/>
          <w:szCs w:val="22"/>
        </w:rPr>
        <w:t>The GSEC Mission include</w:t>
      </w:r>
      <w:r w:rsidR="00CF3BEA">
        <w:rPr>
          <w:sz w:val="22"/>
          <w:szCs w:val="22"/>
        </w:rPr>
        <w:t>s:</w:t>
      </w:r>
      <w:r w:rsidR="00AE0F10" w:rsidRPr="00321107">
        <w:rPr>
          <w:sz w:val="22"/>
          <w:szCs w:val="22"/>
        </w:rPr>
        <w:t xml:space="preserve"> </w:t>
      </w:r>
    </w:p>
    <w:p w14:paraId="43A968A7" w14:textId="77777777" w:rsidR="00AE0F10" w:rsidRDefault="00AE0F10" w:rsidP="00AE0F10">
      <w:pPr>
        <w:pStyle w:val="Default"/>
        <w:numPr>
          <w:ilvl w:val="0"/>
          <w:numId w:val="3"/>
        </w:numPr>
        <w:rPr>
          <w:sz w:val="22"/>
          <w:szCs w:val="22"/>
        </w:rPr>
      </w:pPr>
      <w:r w:rsidRPr="00321107">
        <w:rPr>
          <w:sz w:val="22"/>
          <w:szCs w:val="22"/>
        </w:rPr>
        <w:t>Create education</w:t>
      </w:r>
      <w:r w:rsidR="002315C5">
        <w:rPr>
          <w:sz w:val="22"/>
          <w:szCs w:val="22"/>
        </w:rPr>
        <w:t>al,</w:t>
      </w:r>
      <w:r w:rsidRPr="00321107">
        <w:rPr>
          <w:sz w:val="22"/>
          <w:szCs w:val="22"/>
        </w:rPr>
        <w:t xml:space="preserve"> social and networking oppor</w:t>
      </w:r>
      <w:r w:rsidR="00AB7680" w:rsidRPr="00321107">
        <w:rPr>
          <w:sz w:val="22"/>
          <w:szCs w:val="22"/>
        </w:rPr>
        <w:t>tunities</w:t>
      </w:r>
    </w:p>
    <w:p w14:paraId="5520B7CB" w14:textId="7EDB6879" w:rsidR="002315C5" w:rsidRPr="00321107" w:rsidRDefault="002315C5" w:rsidP="00AE0F10">
      <w:pPr>
        <w:pStyle w:val="Default"/>
        <w:numPr>
          <w:ilvl w:val="0"/>
          <w:numId w:val="3"/>
        </w:numPr>
        <w:rPr>
          <w:sz w:val="22"/>
          <w:szCs w:val="22"/>
        </w:rPr>
      </w:pPr>
      <w:r>
        <w:rPr>
          <w:sz w:val="22"/>
          <w:szCs w:val="22"/>
        </w:rPr>
        <w:t>Host activities for learning and career development</w:t>
      </w:r>
    </w:p>
    <w:p w14:paraId="6337BA84" w14:textId="77777777" w:rsidR="00AE0F10" w:rsidRPr="00321107" w:rsidRDefault="00AE0F10" w:rsidP="00AE0F10">
      <w:pPr>
        <w:pStyle w:val="Default"/>
        <w:numPr>
          <w:ilvl w:val="0"/>
          <w:numId w:val="3"/>
        </w:numPr>
        <w:rPr>
          <w:sz w:val="22"/>
          <w:szCs w:val="22"/>
        </w:rPr>
      </w:pPr>
      <w:r w:rsidRPr="00321107">
        <w:rPr>
          <w:sz w:val="22"/>
          <w:szCs w:val="22"/>
        </w:rPr>
        <w:t xml:space="preserve">Recognize </w:t>
      </w:r>
      <w:r w:rsidR="002315C5">
        <w:rPr>
          <w:sz w:val="22"/>
          <w:szCs w:val="22"/>
        </w:rPr>
        <w:t xml:space="preserve">graduate student </w:t>
      </w:r>
      <w:r w:rsidRPr="00321107">
        <w:rPr>
          <w:sz w:val="22"/>
          <w:szCs w:val="22"/>
        </w:rPr>
        <w:t>achievements and improve recruitment</w:t>
      </w:r>
    </w:p>
    <w:p w14:paraId="6BFB36A3" w14:textId="77777777" w:rsidR="00AE0F10" w:rsidRPr="00321107" w:rsidRDefault="002315C5" w:rsidP="002315C5">
      <w:pPr>
        <w:pStyle w:val="Default"/>
        <w:rPr>
          <w:sz w:val="22"/>
          <w:szCs w:val="22"/>
        </w:rPr>
      </w:pPr>
      <w:r>
        <w:rPr>
          <w:sz w:val="22"/>
          <w:szCs w:val="22"/>
        </w:rPr>
        <w:t>GSEC leadership i</w:t>
      </w:r>
      <w:r w:rsidR="00AE0F10" w:rsidRPr="00321107">
        <w:rPr>
          <w:sz w:val="22"/>
          <w:szCs w:val="22"/>
        </w:rPr>
        <w:t>ncludes faculty and students</w:t>
      </w:r>
      <w:r>
        <w:rPr>
          <w:sz w:val="22"/>
          <w:szCs w:val="22"/>
        </w:rPr>
        <w:t>.</w:t>
      </w:r>
    </w:p>
    <w:p w14:paraId="1F6BFF82" w14:textId="77777777" w:rsidR="00AE0F10" w:rsidRPr="00321107" w:rsidRDefault="002315C5" w:rsidP="00AE0F10">
      <w:pPr>
        <w:pStyle w:val="Default"/>
        <w:numPr>
          <w:ilvl w:val="0"/>
          <w:numId w:val="3"/>
        </w:numPr>
        <w:rPr>
          <w:sz w:val="22"/>
          <w:szCs w:val="22"/>
        </w:rPr>
      </w:pPr>
      <w:r>
        <w:rPr>
          <w:sz w:val="22"/>
          <w:szCs w:val="22"/>
        </w:rPr>
        <w:t xml:space="preserve">Graduate student support includes </w:t>
      </w:r>
      <w:r w:rsidR="00AE0F10" w:rsidRPr="00321107">
        <w:rPr>
          <w:sz w:val="22"/>
          <w:szCs w:val="22"/>
        </w:rPr>
        <w:t>$11,000 to each GSBS program housed within the medical school</w:t>
      </w:r>
      <w:r>
        <w:rPr>
          <w:sz w:val="22"/>
          <w:szCs w:val="22"/>
        </w:rPr>
        <w:t xml:space="preserve"> (Biochemistry &amp; Cell Biology, Microbiology &amp; Infectious Diseases, and Neurosciences) </w:t>
      </w:r>
    </w:p>
    <w:p w14:paraId="0D35CE1C" w14:textId="77777777" w:rsidR="00AE0F10" w:rsidRPr="00321107" w:rsidRDefault="00AE0F10" w:rsidP="00AE0F10">
      <w:pPr>
        <w:pStyle w:val="Default"/>
        <w:numPr>
          <w:ilvl w:val="0"/>
          <w:numId w:val="3"/>
        </w:numPr>
        <w:rPr>
          <w:sz w:val="22"/>
          <w:szCs w:val="22"/>
        </w:rPr>
      </w:pPr>
      <w:r w:rsidRPr="00321107">
        <w:rPr>
          <w:sz w:val="22"/>
          <w:szCs w:val="22"/>
        </w:rPr>
        <w:t xml:space="preserve">Yearly GSEC poster </w:t>
      </w:r>
      <w:r w:rsidR="002315C5">
        <w:rPr>
          <w:sz w:val="22"/>
          <w:szCs w:val="22"/>
        </w:rPr>
        <w:t>s</w:t>
      </w:r>
      <w:r w:rsidRPr="00321107">
        <w:rPr>
          <w:sz w:val="22"/>
          <w:szCs w:val="22"/>
        </w:rPr>
        <w:t>ession – 289 graduate students including 7 medical students</w:t>
      </w:r>
    </w:p>
    <w:p w14:paraId="6430BE45" w14:textId="4243DDDF" w:rsidR="00AE0F10" w:rsidRPr="00321107" w:rsidRDefault="00AE0F10" w:rsidP="00AE0F10">
      <w:pPr>
        <w:pStyle w:val="Default"/>
        <w:numPr>
          <w:ilvl w:val="0"/>
          <w:numId w:val="3"/>
        </w:numPr>
        <w:rPr>
          <w:sz w:val="22"/>
          <w:szCs w:val="22"/>
        </w:rPr>
      </w:pPr>
      <w:r w:rsidRPr="00321107">
        <w:rPr>
          <w:sz w:val="22"/>
          <w:szCs w:val="22"/>
        </w:rPr>
        <w:t>Dean’s Research Scholarship Awards – recognizes PhD students who have achieved distinction - $1500 - $3000</w:t>
      </w:r>
      <w:r w:rsidR="00873910" w:rsidRPr="00321107">
        <w:rPr>
          <w:sz w:val="22"/>
          <w:szCs w:val="22"/>
        </w:rPr>
        <w:t xml:space="preserve"> awarded</w:t>
      </w:r>
    </w:p>
    <w:p w14:paraId="3D003C73" w14:textId="77777777" w:rsidR="00AE0F10" w:rsidRPr="00321107" w:rsidRDefault="00AE0F10" w:rsidP="00AE0F10">
      <w:pPr>
        <w:pStyle w:val="Default"/>
        <w:numPr>
          <w:ilvl w:val="0"/>
          <w:numId w:val="3"/>
        </w:numPr>
        <w:rPr>
          <w:sz w:val="22"/>
          <w:szCs w:val="22"/>
        </w:rPr>
      </w:pPr>
      <w:r w:rsidRPr="00321107">
        <w:rPr>
          <w:sz w:val="22"/>
          <w:szCs w:val="22"/>
        </w:rPr>
        <w:t>Other awar</w:t>
      </w:r>
      <w:r w:rsidR="00AB7680" w:rsidRPr="00321107">
        <w:rPr>
          <w:sz w:val="22"/>
          <w:szCs w:val="22"/>
        </w:rPr>
        <w:t>d</w:t>
      </w:r>
      <w:r w:rsidRPr="00321107">
        <w:rPr>
          <w:sz w:val="22"/>
          <w:szCs w:val="22"/>
        </w:rPr>
        <w:t xml:space="preserve">s: travel awards ($750), </w:t>
      </w:r>
      <w:r w:rsidR="00766BD0">
        <w:rPr>
          <w:sz w:val="22"/>
          <w:szCs w:val="22"/>
        </w:rPr>
        <w:t>g</w:t>
      </w:r>
      <w:r w:rsidRPr="00321107">
        <w:rPr>
          <w:sz w:val="22"/>
          <w:szCs w:val="22"/>
        </w:rPr>
        <w:t xml:space="preserve">rant </w:t>
      </w:r>
      <w:r w:rsidR="00766BD0">
        <w:rPr>
          <w:sz w:val="22"/>
          <w:szCs w:val="22"/>
        </w:rPr>
        <w:t>a</w:t>
      </w:r>
      <w:r w:rsidRPr="00321107">
        <w:rPr>
          <w:sz w:val="22"/>
          <w:szCs w:val="22"/>
        </w:rPr>
        <w:t xml:space="preserve">ward </w:t>
      </w:r>
      <w:r w:rsidR="00766BD0">
        <w:rPr>
          <w:sz w:val="22"/>
          <w:szCs w:val="22"/>
        </w:rPr>
        <w:t>b</w:t>
      </w:r>
      <w:r w:rsidRPr="00321107">
        <w:rPr>
          <w:sz w:val="22"/>
          <w:szCs w:val="22"/>
        </w:rPr>
        <w:t>onus</w:t>
      </w:r>
      <w:r w:rsidR="00AB7680" w:rsidRPr="00321107">
        <w:rPr>
          <w:sz w:val="22"/>
          <w:szCs w:val="22"/>
        </w:rPr>
        <w:t xml:space="preserve"> ($250), </w:t>
      </w:r>
      <w:r w:rsidR="00766BD0">
        <w:rPr>
          <w:sz w:val="22"/>
          <w:szCs w:val="22"/>
        </w:rPr>
        <w:t>l</w:t>
      </w:r>
      <w:r w:rsidR="00AB7680" w:rsidRPr="00321107">
        <w:rPr>
          <w:sz w:val="22"/>
          <w:szCs w:val="22"/>
        </w:rPr>
        <w:t xml:space="preserve">aptop </w:t>
      </w:r>
      <w:r w:rsidR="00766BD0">
        <w:rPr>
          <w:sz w:val="22"/>
          <w:szCs w:val="22"/>
        </w:rPr>
        <w:t>l</w:t>
      </w:r>
      <w:r w:rsidR="00AB7680" w:rsidRPr="00321107">
        <w:rPr>
          <w:sz w:val="22"/>
          <w:szCs w:val="22"/>
        </w:rPr>
        <w:t xml:space="preserve">oan </w:t>
      </w:r>
      <w:r w:rsidR="00766BD0">
        <w:rPr>
          <w:sz w:val="22"/>
          <w:szCs w:val="22"/>
        </w:rPr>
        <w:t>p</w:t>
      </w:r>
      <w:r w:rsidR="00AB7680" w:rsidRPr="00321107">
        <w:rPr>
          <w:sz w:val="22"/>
          <w:szCs w:val="22"/>
        </w:rPr>
        <w:t>rogram</w:t>
      </w:r>
    </w:p>
    <w:p w14:paraId="4D1BEA62" w14:textId="77777777" w:rsidR="00AB7680" w:rsidRPr="00321107" w:rsidRDefault="00AB7680" w:rsidP="00AE0F10">
      <w:pPr>
        <w:pStyle w:val="Default"/>
        <w:numPr>
          <w:ilvl w:val="0"/>
          <w:numId w:val="3"/>
        </w:numPr>
        <w:rPr>
          <w:sz w:val="22"/>
          <w:szCs w:val="22"/>
        </w:rPr>
      </w:pPr>
      <w:r w:rsidRPr="00321107">
        <w:rPr>
          <w:sz w:val="22"/>
          <w:szCs w:val="22"/>
        </w:rPr>
        <w:t xml:space="preserve">Student Support Survey </w:t>
      </w:r>
      <w:r w:rsidR="00766BD0">
        <w:rPr>
          <w:sz w:val="22"/>
          <w:szCs w:val="22"/>
        </w:rPr>
        <w:t>–</w:t>
      </w:r>
      <w:r w:rsidRPr="00321107">
        <w:rPr>
          <w:sz w:val="22"/>
          <w:szCs w:val="22"/>
        </w:rPr>
        <w:t xml:space="preserve"> </w:t>
      </w:r>
      <w:r w:rsidR="00766BD0">
        <w:rPr>
          <w:sz w:val="22"/>
          <w:szCs w:val="22"/>
        </w:rPr>
        <w:t xml:space="preserve">the number one student </w:t>
      </w:r>
      <w:r w:rsidRPr="00321107">
        <w:rPr>
          <w:sz w:val="22"/>
          <w:szCs w:val="22"/>
        </w:rPr>
        <w:t xml:space="preserve">concern </w:t>
      </w:r>
      <w:r w:rsidR="00766BD0">
        <w:rPr>
          <w:sz w:val="22"/>
          <w:szCs w:val="22"/>
        </w:rPr>
        <w:t>is</w:t>
      </w:r>
      <w:r w:rsidRPr="00321107">
        <w:rPr>
          <w:sz w:val="22"/>
          <w:szCs w:val="22"/>
        </w:rPr>
        <w:t xml:space="preserve"> </w:t>
      </w:r>
      <w:r w:rsidR="00766BD0">
        <w:rPr>
          <w:sz w:val="22"/>
          <w:szCs w:val="22"/>
        </w:rPr>
        <w:t>s</w:t>
      </w:r>
      <w:r w:rsidRPr="00321107">
        <w:rPr>
          <w:sz w:val="22"/>
          <w:szCs w:val="22"/>
        </w:rPr>
        <w:t>tudent parking</w:t>
      </w:r>
      <w:r w:rsidR="00873910" w:rsidRPr="00321107">
        <w:rPr>
          <w:sz w:val="22"/>
          <w:szCs w:val="22"/>
        </w:rPr>
        <w:t>. Other</w:t>
      </w:r>
      <w:r w:rsidR="00766BD0">
        <w:rPr>
          <w:sz w:val="22"/>
          <w:szCs w:val="22"/>
        </w:rPr>
        <w:t xml:space="preserve"> concerns </w:t>
      </w:r>
      <w:proofErr w:type="gramStart"/>
      <w:r w:rsidR="00766BD0">
        <w:rPr>
          <w:sz w:val="22"/>
          <w:szCs w:val="22"/>
        </w:rPr>
        <w:t>include</w:t>
      </w:r>
      <w:r w:rsidR="00873910" w:rsidRPr="00321107">
        <w:rPr>
          <w:sz w:val="22"/>
          <w:szCs w:val="22"/>
        </w:rPr>
        <w:t xml:space="preserve"> </w:t>
      </w:r>
      <w:r w:rsidRPr="00321107">
        <w:rPr>
          <w:sz w:val="22"/>
          <w:szCs w:val="22"/>
        </w:rPr>
        <w:t xml:space="preserve"> professional</w:t>
      </w:r>
      <w:proofErr w:type="gramEnd"/>
      <w:r w:rsidRPr="00321107">
        <w:rPr>
          <w:sz w:val="22"/>
          <w:szCs w:val="22"/>
        </w:rPr>
        <w:t xml:space="preserve"> development, gran</w:t>
      </w:r>
      <w:r w:rsidR="00873910" w:rsidRPr="00321107">
        <w:rPr>
          <w:sz w:val="22"/>
          <w:szCs w:val="22"/>
        </w:rPr>
        <w:t>t</w:t>
      </w:r>
      <w:r w:rsidRPr="00321107">
        <w:rPr>
          <w:sz w:val="22"/>
          <w:szCs w:val="22"/>
        </w:rPr>
        <w:t xml:space="preserve"> development workshops. Some students have specific financial concerns</w:t>
      </w:r>
      <w:r w:rsidR="00766BD0">
        <w:rPr>
          <w:sz w:val="22"/>
          <w:szCs w:val="22"/>
        </w:rPr>
        <w:t>.</w:t>
      </w:r>
    </w:p>
    <w:p w14:paraId="42FB8CF0" w14:textId="77777777" w:rsidR="00AB7680" w:rsidRPr="00321107" w:rsidRDefault="00AB7680" w:rsidP="00AE0F10">
      <w:pPr>
        <w:pStyle w:val="Default"/>
        <w:numPr>
          <w:ilvl w:val="0"/>
          <w:numId w:val="3"/>
        </w:numPr>
        <w:rPr>
          <w:sz w:val="22"/>
          <w:szCs w:val="22"/>
        </w:rPr>
      </w:pPr>
      <w:r w:rsidRPr="00321107">
        <w:rPr>
          <w:sz w:val="22"/>
          <w:szCs w:val="22"/>
        </w:rPr>
        <w:t xml:space="preserve">Parking assistance </w:t>
      </w:r>
      <w:r w:rsidR="00766BD0">
        <w:rPr>
          <w:sz w:val="22"/>
          <w:szCs w:val="22"/>
        </w:rPr>
        <w:t>p</w:t>
      </w:r>
      <w:r w:rsidRPr="00321107">
        <w:rPr>
          <w:sz w:val="22"/>
          <w:szCs w:val="22"/>
        </w:rPr>
        <w:t xml:space="preserve">rogram: </w:t>
      </w:r>
      <w:r w:rsidR="00766BD0">
        <w:rPr>
          <w:sz w:val="22"/>
          <w:szCs w:val="22"/>
        </w:rPr>
        <w:t>d</w:t>
      </w:r>
      <w:r w:rsidRPr="00321107">
        <w:rPr>
          <w:sz w:val="22"/>
          <w:szCs w:val="22"/>
        </w:rPr>
        <w:t xml:space="preserve">iverted </w:t>
      </w:r>
      <w:r w:rsidR="00766BD0">
        <w:rPr>
          <w:sz w:val="22"/>
          <w:szCs w:val="22"/>
        </w:rPr>
        <w:t>t</w:t>
      </w:r>
      <w:r w:rsidRPr="00321107">
        <w:rPr>
          <w:sz w:val="22"/>
          <w:szCs w:val="22"/>
        </w:rPr>
        <w:t xml:space="preserve">ravel funds to provide 70-75 parking vouchers worth $115 each during </w:t>
      </w:r>
      <w:r w:rsidR="00766BD0">
        <w:rPr>
          <w:sz w:val="22"/>
          <w:szCs w:val="22"/>
        </w:rPr>
        <w:t xml:space="preserve">the </w:t>
      </w:r>
      <w:r w:rsidRPr="00321107">
        <w:rPr>
          <w:sz w:val="22"/>
          <w:szCs w:val="22"/>
        </w:rPr>
        <w:t>C</w:t>
      </w:r>
      <w:r w:rsidR="00EE782D" w:rsidRPr="00321107">
        <w:rPr>
          <w:sz w:val="22"/>
          <w:szCs w:val="22"/>
        </w:rPr>
        <w:t>OVID</w:t>
      </w:r>
      <w:r w:rsidRPr="00321107">
        <w:rPr>
          <w:sz w:val="22"/>
          <w:szCs w:val="22"/>
        </w:rPr>
        <w:t xml:space="preserve"> pandemi</w:t>
      </w:r>
      <w:r w:rsidR="0046072D" w:rsidRPr="00321107">
        <w:rPr>
          <w:sz w:val="22"/>
          <w:szCs w:val="22"/>
        </w:rPr>
        <w:t>c</w:t>
      </w:r>
      <w:r w:rsidR="00766BD0">
        <w:rPr>
          <w:sz w:val="22"/>
          <w:szCs w:val="22"/>
        </w:rPr>
        <w:t>.  The GSEC hopes to continue this program.</w:t>
      </w:r>
    </w:p>
    <w:p w14:paraId="475ABD23" w14:textId="77777777" w:rsidR="00AB7680" w:rsidRPr="00321107" w:rsidRDefault="00AB7680" w:rsidP="00AE0F10">
      <w:pPr>
        <w:pStyle w:val="Default"/>
        <w:numPr>
          <w:ilvl w:val="0"/>
          <w:numId w:val="3"/>
        </w:numPr>
        <w:rPr>
          <w:sz w:val="22"/>
          <w:szCs w:val="22"/>
        </w:rPr>
      </w:pPr>
      <w:r w:rsidRPr="00321107">
        <w:rPr>
          <w:sz w:val="22"/>
          <w:szCs w:val="22"/>
        </w:rPr>
        <w:t xml:space="preserve">GSEC career </w:t>
      </w:r>
      <w:r w:rsidR="00766BD0">
        <w:rPr>
          <w:sz w:val="22"/>
          <w:szCs w:val="22"/>
        </w:rPr>
        <w:t>p</w:t>
      </w:r>
      <w:r w:rsidRPr="00321107">
        <w:rPr>
          <w:sz w:val="22"/>
          <w:szCs w:val="22"/>
        </w:rPr>
        <w:t xml:space="preserve">ath </w:t>
      </w:r>
      <w:r w:rsidR="00766BD0">
        <w:rPr>
          <w:sz w:val="22"/>
          <w:szCs w:val="22"/>
        </w:rPr>
        <w:t>s</w:t>
      </w:r>
      <w:r w:rsidRPr="00321107">
        <w:rPr>
          <w:sz w:val="22"/>
          <w:szCs w:val="22"/>
        </w:rPr>
        <w:t xml:space="preserve">eminar </w:t>
      </w:r>
      <w:r w:rsidR="00766BD0">
        <w:rPr>
          <w:sz w:val="22"/>
          <w:szCs w:val="22"/>
        </w:rPr>
        <w:t>s</w:t>
      </w:r>
      <w:r w:rsidRPr="00321107">
        <w:rPr>
          <w:sz w:val="22"/>
          <w:szCs w:val="22"/>
        </w:rPr>
        <w:t>eries: invited junior faculty</w:t>
      </w:r>
    </w:p>
    <w:p w14:paraId="7F16BB68" w14:textId="77777777" w:rsidR="00AB7680" w:rsidRPr="00321107" w:rsidRDefault="00AB7680" w:rsidP="00873910">
      <w:pPr>
        <w:pStyle w:val="Default"/>
        <w:numPr>
          <w:ilvl w:val="0"/>
          <w:numId w:val="3"/>
        </w:numPr>
        <w:rPr>
          <w:sz w:val="22"/>
          <w:szCs w:val="22"/>
        </w:rPr>
      </w:pPr>
      <w:r w:rsidRPr="00321107">
        <w:rPr>
          <w:sz w:val="22"/>
          <w:szCs w:val="22"/>
        </w:rPr>
        <w:t xml:space="preserve">Ice cream social </w:t>
      </w:r>
      <w:r w:rsidR="005E08AE">
        <w:rPr>
          <w:sz w:val="22"/>
          <w:szCs w:val="22"/>
        </w:rPr>
        <w:t>was</w:t>
      </w:r>
      <w:r w:rsidRPr="00321107">
        <w:rPr>
          <w:sz w:val="22"/>
          <w:szCs w:val="22"/>
        </w:rPr>
        <w:t xml:space="preserve"> June</w:t>
      </w:r>
      <w:r w:rsidR="00CE495E">
        <w:rPr>
          <w:sz w:val="22"/>
          <w:szCs w:val="22"/>
        </w:rPr>
        <w:t xml:space="preserve"> 13, 2023</w:t>
      </w:r>
      <w:r w:rsidRPr="00321107">
        <w:rPr>
          <w:sz w:val="22"/>
          <w:szCs w:val="22"/>
        </w:rPr>
        <w:t>. Popular recruitment event</w:t>
      </w:r>
      <w:r w:rsidR="00873910" w:rsidRPr="00321107">
        <w:rPr>
          <w:sz w:val="22"/>
          <w:szCs w:val="22"/>
        </w:rPr>
        <w:t xml:space="preserve"> &amp; </w:t>
      </w:r>
      <w:r w:rsidR="00CE495E">
        <w:rPr>
          <w:sz w:val="22"/>
          <w:szCs w:val="22"/>
        </w:rPr>
        <w:t>s</w:t>
      </w:r>
      <w:r w:rsidRPr="00321107">
        <w:rPr>
          <w:sz w:val="22"/>
          <w:szCs w:val="22"/>
        </w:rPr>
        <w:t>ocial networking event – bowling night.</w:t>
      </w:r>
    </w:p>
    <w:p w14:paraId="262080DD" w14:textId="5D85B5DE" w:rsidR="00AB7680" w:rsidRPr="00321107" w:rsidRDefault="00AB7680" w:rsidP="00AE0F10">
      <w:pPr>
        <w:pStyle w:val="Default"/>
        <w:numPr>
          <w:ilvl w:val="0"/>
          <w:numId w:val="3"/>
        </w:numPr>
        <w:rPr>
          <w:sz w:val="22"/>
          <w:szCs w:val="22"/>
        </w:rPr>
      </w:pPr>
      <w:r w:rsidRPr="00321107">
        <w:rPr>
          <w:sz w:val="22"/>
          <w:szCs w:val="22"/>
        </w:rPr>
        <w:t>Focus for the upcoming year: increase GSBS student recruitment to McGovern Medical School – this past year the (60 Ph</w:t>
      </w:r>
      <w:r w:rsidR="00C00E0D">
        <w:rPr>
          <w:sz w:val="22"/>
          <w:szCs w:val="22"/>
        </w:rPr>
        <w:t>D</w:t>
      </w:r>
      <w:r w:rsidRPr="00321107">
        <w:rPr>
          <w:sz w:val="22"/>
          <w:szCs w:val="22"/>
        </w:rPr>
        <w:t>, 27 MS, 4 MD/Ph</w:t>
      </w:r>
      <w:r w:rsidR="00C00E0D">
        <w:rPr>
          <w:sz w:val="22"/>
          <w:szCs w:val="22"/>
        </w:rPr>
        <w:t>D</w:t>
      </w:r>
      <w:r w:rsidRPr="00321107">
        <w:rPr>
          <w:sz w:val="22"/>
          <w:szCs w:val="22"/>
        </w:rPr>
        <w:t xml:space="preserve">) candidates. </w:t>
      </w:r>
      <w:r w:rsidR="00766BD0">
        <w:rPr>
          <w:sz w:val="22"/>
          <w:szCs w:val="22"/>
        </w:rPr>
        <w:t>The GSEC n</w:t>
      </w:r>
      <w:r w:rsidRPr="00321107">
        <w:rPr>
          <w:sz w:val="22"/>
          <w:szCs w:val="22"/>
        </w:rPr>
        <w:t>eed</w:t>
      </w:r>
      <w:r w:rsidR="00766BD0">
        <w:rPr>
          <w:sz w:val="22"/>
          <w:szCs w:val="22"/>
        </w:rPr>
        <w:t>s</w:t>
      </w:r>
      <w:r w:rsidR="00CE495E">
        <w:rPr>
          <w:sz w:val="22"/>
          <w:szCs w:val="22"/>
        </w:rPr>
        <w:t xml:space="preserve"> </w:t>
      </w:r>
      <w:r w:rsidRPr="00321107">
        <w:rPr>
          <w:sz w:val="22"/>
          <w:szCs w:val="22"/>
        </w:rPr>
        <w:t>ideas on how to improve recruitment.</w:t>
      </w:r>
    </w:p>
    <w:p w14:paraId="47FC7055" w14:textId="77777777" w:rsidR="00AB7680" w:rsidRPr="00321107" w:rsidRDefault="00AB7680" w:rsidP="00AE0F10">
      <w:pPr>
        <w:pStyle w:val="Default"/>
        <w:numPr>
          <w:ilvl w:val="0"/>
          <w:numId w:val="3"/>
        </w:numPr>
        <w:rPr>
          <w:sz w:val="22"/>
          <w:szCs w:val="22"/>
        </w:rPr>
      </w:pPr>
      <w:r w:rsidRPr="00321107">
        <w:rPr>
          <w:sz w:val="22"/>
          <w:szCs w:val="22"/>
        </w:rPr>
        <w:t xml:space="preserve">Comments: to highlight research and programs on our websites. </w:t>
      </w:r>
    </w:p>
    <w:p w14:paraId="3A6E42BF" w14:textId="77777777" w:rsidR="00AB7680" w:rsidRPr="00321107" w:rsidRDefault="00AB7680" w:rsidP="00AB7680">
      <w:pPr>
        <w:pStyle w:val="Default"/>
        <w:ind w:left="720"/>
        <w:rPr>
          <w:sz w:val="22"/>
          <w:szCs w:val="22"/>
        </w:rPr>
      </w:pPr>
    </w:p>
    <w:p w14:paraId="3303795F" w14:textId="77777777" w:rsidR="00AE0F10" w:rsidRPr="00321107" w:rsidRDefault="00AE0F10" w:rsidP="00AE0F10">
      <w:pPr>
        <w:pStyle w:val="Default"/>
        <w:rPr>
          <w:sz w:val="22"/>
          <w:szCs w:val="22"/>
        </w:rPr>
      </w:pPr>
      <w:r w:rsidRPr="00321107">
        <w:rPr>
          <w:sz w:val="22"/>
          <w:szCs w:val="22"/>
        </w:rPr>
        <w:t xml:space="preserve">5. New Business </w:t>
      </w:r>
    </w:p>
    <w:p w14:paraId="2753FF24" w14:textId="1326A003" w:rsidR="00AE0F10" w:rsidRPr="00321107" w:rsidRDefault="00AE0F10" w:rsidP="00AE0F10">
      <w:pPr>
        <w:pStyle w:val="Default"/>
        <w:rPr>
          <w:sz w:val="22"/>
          <w:szCs w:val="22"/>
        </w:rPr>
      </w:pPr>
      <w:r w:rsidRPr="00321107">
        <w:rPr>
          <w:sz w:val="22"/>
          <w:szCs w:val="22"/>
        </w:rPr>
        <w:t xml:space="preserve">a. </w:t>
      </w:r>
      <w:bookmarkStart w:id="0" w:name="_Hlk137889255"/>
      <w:r w:rsidRPr="00321107">
        <w:rPr>
          <w:sz w:val="22"/>
          <w:szCs w:val="22"/>
        </w:rPr>
        <w:t>AAMC Council of Faculty and Academic Societies</w:t>
      </w:r>
      <w:r w:rsidR="0046072D" w:rsidRPr="00321107">
        <w:rPr>
          <w:sz w:val="22"/>
          <w:szCs w:val="22"/>
        </w:rPr>
        <w:t xml:space="preserve"> (CFAS)</w:t>
      </w:r>
      <w:r w:rsidRPr="00321107">
        <w:rPr>
          <w:sz w:val="22"/>
          <w:szCs w:val="22"/>
        </w:rPr>
        <w:t xml:space="preserve"> – Dr. Susan Wootton</w:t>
      </w:r>
      <w:r w:rsidR="0046072D" w:rsidRPr="00321107">
        <w:rPr>
          <w:sz w:val="22"/>
          <w:szCs w:val="22"/>
        </w:rPr>
        <w:t xml:space="preserve"> (Senior</w:t>
      </w:r>
      <w:r w:rsidR="00FC27C2" w:rsidRPr="00321107">
        <w:rPr>
          <w:sz w:val="22"/>
          <w:szCs w:val="22"/>
        </w:rPr>
        <w:t xml:space="preserve"> CFAS representative</w:t>
      </w:r>
      <w:r w:rsidR="0046072D" w:rsidRPr="00321107">
        <w:rPr>
          <w:sz w:val="22"/>
          <w:szCs w:val="22"/>
        </w:rPr>
        <w:t>)</w:t>
      </w:r>
      <w:r w:rsidRPr="00321107">
        <w:rPr>
          <w:sz w:val="22"/>
          <w:szCs w:val="22"/>
        </w:rPr>
        <w:t xml:space="preserve">, Dr. Rachel </w:t>
      </w:r>
      <w:proofErr w:type="spellStart"/>
      <w:r w:rsidRPr="00321107">
        <w:rPr>
          <w:sz w:val="22"/>
          <w:szCs w:val="22"/>
        </w:rPr>
        <w:t>Jantea</w:t>
      </w:r>
      <w:proofErr w:type="spellEnd"/>
      <w:r w:rsidR="0046072D" w:rsidRPr="00321107">
        <w:rPr>
          <w:sz w:val="22"/>
          <w:szCs w:val="22"/>
        </w:rPr>
        <w:t xml:space="preserve"> (Junior</w:t>
      </w:r>
      <w:r w:rsidR="00FC27C2" w:rsidRPr="00321107">
        <w:rPr>
          <w:sz w:val="22"/>
          <w:szCs w:val="22"/>
        </w:rPr>
        <w:t xml:space="preserve"> CFAS representative</w:t>
      </w:r>
      <w:r w:rsidR="0046072D" w:rsidRPr="00321107">
        <w:rPr>
          <w:sz w:val="22"/>
          <w:szCs w:val="22"/>
        </w:rPr>
        <w:t>)</w:t>
      </w:r>
      <w:r w:rsidRPr="00321107">
        <w:rPr>
          <w:sz w:val="22"/>
          <w:szCs w:val="22"/>
        </w:rPr>
        <w:t xml:space="preserve">, and Dr. Allison </w:t>
      </w:r>
      <w:proofErr w:type="spellStart"/>
      <w:r w:rsidRPr="00321107">
        <w:rPr>
          <w:sz w:val="22"/>
          <w:szCs w:val="22"/>
        </w:rPr>
        <w:t>Ownby</w:t>
      </w:r>
      <w:proofErr w:type="spellEnd"/>
      <w:r w:rsidRPr="00321107">
        <w:rPr>
          <w:sz w:val="22"/>
          <w:szCs w:val="22"/>
        </w:rPr>
        <w:t xml:space="preserve"> </w:t>
      </w:r>
      <w:bookmarkEnd w:id="0"/>
      <w:r w:rsidR="009F5722">
        <w:rPr>
          <w:sz w:val="22"/>
          <w:szCs w:val="22"/>
        </w:rPr>
        <w:t>(CFAS member)</w:t>
      </w:r>
    </w:p>
    <w:p w14:paraId="5C6FC272" w14:textId="77777777" w:rsidR="0046072D" w:rsidRPr="00321107" w:rsidRDefault="00B00880" w:rsidP="0046072D">
      <w:pPr>
        <w:pStyle w:val="Default"/>
        <w:numPr>
          <w:ilvl w:val="0"/>
          <w:numId w:val="8"/>
        </w:numPr>
        <w:rPr>
          <w:sz w:val="22"/>
          <w:szCs w:val="22"/>
        </w:rPr>
      </w:pPr>
      <w:r>
        <w:rPr>
          <w:sz w:val="22"/>
          <w:szCs w:val="22"/>
        </w:rPr>
        <w:t xml:space="preserve">The </w:t>
      </w:r>
      <w:r w:rsidR="002B0FF6">
        <w:rPr>
          <w:sz w:val="22"/>
          <w:szCs w:val="22"/>
        </w:rPr>
        <w:t>m</w:t>
      </w:r>
      <w:r w:rsidR="0046072D" w:rsidRPr="00321107">
        <w:rPr>
          <w:sz w:val="22"/>
          <w:szCs w:val="22"/>
        </w:rPr>
        <w:t xml:space="preserve">ission of </w:t>
      </w:r>
      <w:r w:rsidR="002B0FF6">
        <w:rPr>
          <w:sz w:val="22"/>
          <w:szCs w:val="22"/>
        </w:rPr>
        <w:t xml:space="preserve">the </w:t>
      </w:r>
      <w:r w:rsidR="0046072D" w:rsidRPr="00321107">
        <w:rPr>
          <w:sz w:val="22"/>
          <w:szCs w:val="22"/>
        </w:rPr>
        <w:t xml:space="preserve">AAMC </w:t>
      </w:r>
      <w:r w:rsidR="00873910" w:rsidRPr="00321107">
        <w:rPr>
          <w:sz w:val="22"/>
          <w:szCs w:val="22"/>
        </w:rPr>
        <w:t xml:space="preserve">is to </w:t>
      </w:r>
      <w:r w:rsidR="0046072D" w:rsidRPr="00321107">
        <w:rPr>
          <w:sz w:val="22"/>
          <w:szCs w:val="22"/>
        </w:rPr>
        <w:t>lead and serve</w:t>
      </w:r>
      <w:r w:rsidR="00873910" w:rsidRPr="00321107">
        <w:rPr>
          <w:sz w:val="22"/>
          <w:szCs w:val="22"/>
        </w:rPr>
        <w:t xml:space="preserve"> A</w:t>
      </w:r>
      <w:r w:rsidR="0046072D" w:rsidRPr="00321107">
        <w:rPr>
          <w:sz w:val="22"/>
          <w:szCs w:val="22"/>
        </w:rPr>
        <w:t xml:space="preserve">cademic </w:t>
      </w:r>
      <w:r w:rsidR="00873910" w:rsidRPr="00321107">
        <w:rPr>
          <w:sz w:val="22"/>
          <w:szCs w:val="22"/>
        </w:rPr>
        <w:t>m</w:t>
      </w:r>
      <w:r w:rsidR="0046072D" w:rsidRPr="00321107">
        <w:rPr>
          <w:sz w:val="22"/>
          <w:szCs w:val="22"/>
        </w:rPr>
        <w:t>edi</w:t>
      </w:r>
      <w:r w:rsidR="00FC27C2" w:rsidRPr="00321107">
        <w:rPr>
          <w:sz w:val="22"/>
          <w:szCs w:val="22"/>
        </w:rPr>
        <w:t>c</w:t>
      </w:r>
      <w:r w:rsidR="0046072D" w:rsidRPr="00321107">
        <w:rPr>
          <w:sz w:val="22"/>
          <w:szCs w:val="22"/>
        </w:rPr>
        <w:t>ine to improve the health of people</w:t>
      </w:r>
      <w:r w:rsidR="002B0FF6">
        <w:rPr>
          <w:sz w:val="22"/>
          <w:szCs w:val="22"/>
        </w:rPr>
        <w:t xml:space="preserve"> everywhere</w:t>
      </w:r>
    </w:p>
    <w:p w14:paraId="46837C5C" w14:textId="4C2DD3AD" w:rsidR="0046072D" w:rsidRDefault="0046072D" w:rsidP="0046072D">
      <w:pPr>
        <w:pStyle w:val="Default"/>
        <w:numPr>
          <w:ilvl w:val="0"/>
          <w:numId w:val="8"/>
        </w:numPr>
        <w:rPr>
          <w:sz w:val="22"/>
          <w:szCs w:val="22"/>
        </w:rPr>
      </w:pPr>
      <w:r w:rsidRPr="00321107">
        <w:rPr>
          <w:sz w:val="22"/>
          <w:szCs w:val="22"/>
        </w:rPr>
        <w:t xml:space="preserve">CFAS: member organization and service provider members represent the full spectrum of medical education in US and Canadian Medical </w:t>
      </w:r>
      <w:r w:rsidR="009F5722">
        <w:rPr>
          <w:sz w:val="22"/>
          <w:szCs w:val="22"/>
        </w:rPr>
        <w:t>S</w:t>
      </w:r>
      <w:r w:rsidRPr="00321107">
        <w:rPr>
          <w:sz w:val="22"/>
          <w:szCs w:val="22"/>
        </w:rPr>
        <w:t>chools</w:t>
      </w:r>
    </w:p>
    <w:p w14:paraId="3D46B34F" w14:textId="151E5FD5" w:rsidR="005D73E9" w:rsidRDefault="005D73E9" w:rsidP="0046072D">
      <w:pPr>
        <w:pStyle w:val="Default"/>
        <w:numPr>
          <w:ilvl w:val="0"/>
          <w:numId w:val="8"/>
        </w:numPr>
        <w:rPr>
          <w:sz w:val="22"/>
          <w:szCs w:val="22"/>
        </w:rPr>
      </w:pPr>
      <w:r w:rsidRPr="005D73E9">
        <w:rPr>
          <w:sz w:val="22"/>
          <w:szCs w:val="22"/>
        </w:rPr>
        <w:lastRenderedPageBreak/>
        <w:t>C</w:t>
      </w:r>
      <w:r w:rsidR="0046072D" w:rsidRPr="005D73E9">
        <w:rPr>
          <w:sz w:val="22"/>
          <w:szCs w:val="22"/>
        </w:rPr>
        <w:t xml:space="preserve">FAS </w:t>
      </w:r>
      <w:r w:rsidRPr="005D73E9">
        <w:rPr>
          <w:sz w:val="22"/>
          <w:szCs w:val="22"/>
        </w:rPr>
        <w:t xml:space="preserve">member institutions include 172 </w:t>
      </w:r>
      <w:r w:rsidR="009F5722">
        <w:rPr>
          <w:sz w:val="22"/>
          <w:szCs w:val="22"/>
        </w:rPr>
        <w:t>N</w:t>
      </w:r>
      <w:r w:rsidRPr="005D73E9">
        <w:rPr>
          <w:sz w:val="22"/>
          <w:szCs w:val="22"/>
        </w:rPr>
        <w:t xml:space="preserve">orth American medical schools, over 400 major teaching hospitals and health systems and 80 faculty and academic societies.  </w:t>
      </w:r>
    </w:p>
    <w:p w14:paraId="5C59A807" w14:textId="77777777" w:rsidR="005D73E9" w:rsidRDefault="005D73E9" w:rsidP="0046072D">
      <w:pPr>
        <w:pStyle w:val="Default"/>
        <w:numPr>
          <w:ilvl w:val="0"/>
          <w:numId w:val="8"/>
        </w:numPr>
        <w:rPr>
          <w:sz w:val="22"/>
          <w:szCs w:val="22"/>
        </w:rPr>
      </w:pPr>
      <w:r>
        <w:rPr>
          <w:sz w:val="22"/>
          <w:szCs w:val="22"/>
        </w:rPr>
        <w:t xml:space="preserve">There are 315 CFAS representatives </w:t>
      </w:r>
    </w:p>
    <w:p w14:paraId="768FF592" w14:textId="77777777" w:rsidR="005D73E9" w:rsidRPr="005D73E9" w:rsidRDefault="002B0FF6" w:rsidP="005D73E9">
      <w:pPr>
        <w:pStyle w:val="Default"/>
        <w:numPr>
          <w:ilvl w:val="0"/>
          <w:numId w:val="8"/>
        </w:numPr>
        <w:rPr>
          <w:sz w:val="22"/>
          <w:szCs w:val="22"/>
        </w:rPr>
      </w:pPr>
      <w:r w:rsidRPr="005D73E9">
        <w:rPr>
          <w:sz w:val="22"/>
          <w:szCs w:val="22"/>
        </w:rPr>
        <w:t>CFAS is one of only three AAMC councils which gives it direct representation on the AAMC Board of Directors and a v</w:t>
      </w:r>
      <w:r w:rsidR="0046072D" w:rsidRPr="005D73E9">
        <w:rPr>
          <w:sz w:val="22"/>
          <w:szCs w:val="22"/>
        </w:rPr>
        <w:t>oice for academic faculty within the AAMC’s governance and leadership structures</w:t>
      </w:r>
    </w:p>
    <w:p w14:paraId="0BCCEADD" w14:textId="77777777" w:rsidR="0046072D" w:rsidRPr="00321107" w:rsidRDefault="00EE782D" w:rsidP="0046072D">
      <w:pPr>
        <w:pStyle w:val="Default"/>
        <w:numPr>
          <w:ilvl w:val="0"/>
          <w:numId w:val="8"/>
        </w:numPr>
        <w:rPr>
          <w:sz w:val="22"/>
          <w:szCs w:val="22"/>
        </w:rPr>
      </w:pPr>
      <w:r w:rsidRPr="00321107">
        <w:rPr>
          <w:sz w:val="22"/>
          <w:szCs w:val="22"/>
        </w:rPr>
        <w:t xml:space="preserve">Many functions including: </w:t>
      </w:r>
      <w:r w:rsidR="0046072D" w:rsidRPr="00321107">
        <w:rPr>
          <w:sz w:val="22"/>
          <w:szCs w:val="22"/>
        </w:rPr>
        <w:t>engag</w:t>
      </w:r>
      <w:r w:rsidRPr="00321107">
        <w:rPr>
          <w:sz w:val="22"/>
          <w:szCs w:val="22"/>
        </w:rPr>
        <w:t>ing</w:t>
      </w:r>
      <w:r w:rsidR="0046072D" w:rsidRPr="00321107">
        <w:rPr>
          <w:sz w:val="22"/>
          <w:szCs w:val="22"/>
        </w:rPr>
        <w:t xml:space="preserve"> directly with soc</w:t>
      </w:r>
      <w:r w:rsidR="00FC27C2" w:rsidRPr="00321107">
        <w:rPr>
          <w:sz w:val="22"/>
          <w:szCs w:val="22"/>
        </w:rPr>
        <w:t>ieties</w:t>
      </w:r>
      <w:r w:rsidR="0046072D" w:rsidRPr="00321107">
        <w:rPr>
          <w:sz w:val="22"/>
          <w:szCs w:val="22"/>
        </w:rPr>
        <w:t xml:space="preserve"> on major advocacy issues</w:t>
      </w:r>
    </w:p>
    <w:p w14:paraId="4F5AC752" w14:textId="77777777" w:rsidR="00FC27C2" w:rsidRPr="00321107" w:rsidRDefault="00FC27C2" w:rsidP="0046072D">
      <w:pPr>
        <w:pStyle w:val="Default"/>
        <w:numPr>
          <w:ilvl w:val="0"/>
          <w:numId w:val="8"/>
        </w:numPr>
        <w:rPr>
          <w:sz w:val="22"/>
          <w:szCs w:val="22"/>
        </w:rPr>
      </w:pPr>
      <w:r w:rsidRPr="00321107">
        <w:rPr>
          <w:sz w:val="22"/>
          <w:szCs w:val="22"/>
        </w:rPr>
        <w:t>Big issues: Major advocacy priorities, GME and NIH fun</w:t>
      </w:r>
      <w:r w:rsidR="00EE782D" w:rsidRPr="00321107">
        <w:rPr>
          <w:sz w:val="22"/>
          <w:szCs w:val="22"/>
        </w:rPr>
        <w:t>d</w:t>
      </w:r>
      <w:r w:rsidRPr="00321107">
        <w:rPr>
          <w:sz w:val="22"/>
          <w:szCs w:val="22"/>
        </w:rPr>
        <w:t xml:space="preserve">ing, </w:t>
      </w:r>
      <w:r w:rsidR="002B0FF6">
        <w:rPr>
          <w:sz w:val="22"/>
          <w:szCs w:val="22"/>
        </w:rPr>
        <w:t>r</w:t>
      </w:r>
      <w:r w:rsidRPr="00321107">
        <w:rPr>
          <w:sz w:val="22"/>
          <w:szCs w:val="22"/>
        </w:rPr>
        <w:t xml:space="preserve">acial, </w:t>
      </w:r>
      <w:r w:rsidR="002B0FF6">
        <w:rPr>
          <w:sz w:val="22"/>
          <w:szCs w:val="22"/>
        </w:rPr>
        <w:t>g</w:t>
      </w:r>
      <w:r w:rsidRPr="00321107">
        <w:rPr>
          <w:sz w:val="22"/>
          <w:szCs w:val="22"/>
        </w:rPr>
        <w:t xml:space="preserve">ender, </w:t>
      </w:r>
      <w:r w:rsidR="002B0FF6">
        <w:rPr>
          <w:sz w:val="22"/>
          <w:szCs w:val="22"/>
        </w:rPr>
        <w:t>p</w:t>
      </w:r>
      <w:r w:rsidRPr="00321107">
        <w:rPr>
          <w:sz w:val="22"/>
          <w:szCs w:val="22"/>
        </w:rPr>
        <w:t>olitical issues</w:t>
      </w:r>
    </w:p>
    <w:p w14:paraId="689D86FA" w14:textId="494F198A" w:rsidR="00FC27C2" w:rsidRPr="00321107" w:rsidRDefault="00FC27C2" w:rsidP="0046072D">
      <w:pPr>
        <w:pStyle w:val="Default"/>
        <w:numPr>
          <w:ilvl w:val="0"/>
          <w:numId w:val="8"/>
        </w:numPr>
        <w:rPr>
          <w:sz w:val="22"/>
          <w:szCs w:val="22"/>
        </w:rPr>
      </w:pPr>
      <w:r w:rsidRPr="00321107">
        <w:rPr>
          <w:sz w:val="22"/>
          <w:szCs w:val="22"/>
        </w:rPr>
        <w:t>Multiple committees within CFA</w:t>
      </w:r>
      <w:r w:rsidR="009F5722">
        <w:rPr>
          <w:sz w:val="22"/>
          <w:szCs w:val="22"/>
        </w:rPr>
        <w:t>S,</w:t>
      </w:r>
      <w:r w:rsidR="00873910" w:rsidRPr="00321107">
        <w:rPr>
          <w:sz w:val="22"/>
          <w:szCs w:val="22"/>
        </w:rPr>
        <w:t xml:space="preserve"> which </w:t>
      </w:r>
      <w:r w:rsidRPr="00321107">
        <w:rPr>
          <w:sz w:val="22"/>
          <w:szCs w:val="22"/>
        </w:rPr>
        <w:t>are open to all CFAS reps and affiliates</w:t>
      </w:r>
    </w:p>
    <w:p w14:paraId="7E501E20" w14:textId="09D1E6F7" w:rsidR="00FC27C2" w:rsidRDefault="00FC27C2" w:rsidP="0046072D">
      <w:pPr>
        <w:pStyle w:val="Default"/>
        <w:numPr>
          <w:ilvl w:val="0"/>
          <w:numId w:val="8"/>
        </w:numPr>
        <w:rPr>
          <w:sz w:val="22"/>
          <w:szCs w:val="22"/>
        </w:rPr>
      </w:pPr>
      <w:r w:rsidRPr="00321107">
        <w:rPr>
          <w:sz w:val="22"/>
          <w:szCs w:val="22"/>
        </w:rPr>
        <w:t xml:space="preserve">CFAS </w:t>
      </w:r>
      <w:r w:rsidR="00873910" w:rsidRPr="00321107">
        <w:rPr>
          <w:sz w:val="22"/>
          <w:szCs w:val="22"/>
        </w:rPr>
        <w:t>S</w:t>
      </w:r>
      <w:r w:rsidRPr="00321107">
        <w:rPr>
          <w:sz w:val="22"/>
          <w:szCs w:val="22"/>
        </w:rPr>
        <w:t xml:space="preserve">pring meeting March 27-29, </w:t>
      </w:r>
      <w:proofErr w:type="gramStart"/>
      <w:r w:rsidRPr="00321107">
        <w:rPr>
          <w:sz w:val="22"/>
          <w:szCs w:val="22"/>
        </w:rPr>
        <w:t xml:space="preserve">Salt </w:t>
      </w:r>
      <w:r w:rsidR="00EE782D" w:rsidRPr="00321107">
        <w:rPr>
          <w:sz w:val="22"/>
          <w:szCs w:val="22"/>
        </w:rPr>
        <w:t>l</w:t>
      </w:r>
      <w:r w:rsidRPr="00321107">
        <w:rPr>
          <w:sz w:val="22"/>
          <w:szCs w:val="22"/>
        </w:rPr>
        <w:t>ake</w:t>
      </w:r>
      <w:proofErr w:type="gramEnd"/>
      <w:r w:rsidRPr="00321107">
        <w:rPr>
          <w:sz w:val="22"/>
          <w:szCs w:val="22"/>
        </w:rPr>
        <w:t xml:space="preserve"> UT: </w:t>
      </w:r>
      <w:r w:rsidR="009F5722">
        <w:rPr>
          <w:sz w:val="22"/>
          <w:szCs w:val="22"/>
        </w:rPr>
        <w:t xml:space="preserve">issues included </w:t>
      </w:r>
      <w:r w:rsidRPr="00321107">
        <w:rPr>
          <w:sz w:val="22"/>
          <w:szCs w:val="22"/>
        </w:rPr>
        <w:t>faculty thriving in academic medicine</w:t>
      </w:r>
      <w:r w:rsidR="009F5722">
        <w:rPr>
          <w:sz w:val="22"/>
          <w:szCs w:val="22"/>
        </w:rPr>
        <w:t xml:space="preserve"> and</w:t>
      </w:r>
      <w:r w:rsidRPr="00321107">
        <w:rPr>
          <w:sz w:val="22"/>
          <w:szCs w:val="22"/>
        </w:rPr>
        <w:t xml:space="preserve"> faculty burnout</w:t>
      </w:r>
      <w:r w:rsidR="009F5722">
        <w:rPr>
          <w:sz w:val="22"/>
          <w:szCs w:val="22"/>
        </w:rPr>
        <w:t>,</w:t>
      </w:r>
      <w:r w:rsidRPr="00321107">
        <w:rPr>
          <w:sz w:val="22"/>
          <w:szCs w:val="22"/>
        </w:rPr>
        <w:t xml:space="preserve"> among many others</w:t>
      </w:r>
      <w:r w:rsidR="00873910" w:rsidRPr="00321107">
        <w:rPr>
          <w:sz w:val="22"/>
          <w:szCs w:val="22"/>
        </w:rPr>
        <w:t xml:space="preserve">; </w:t>
      </w:r>
      <w:r w:rsidRPr="00321107">
        <w:rPr>
          <w:sz w:val="22"/>
          <w:szCs w:val="22"/>
        </w:rPr>
        <w:t>identify the issues facing faculty and provide a communication line to the AAMC</w:t>
      </w:r>
    </w:p>
    <w:p w14:paraId="62A0B4BF" w14:textId="77777777" w:rsidR="005D73E9" w:rsidRPr="00321107" w:rsidRDefault="005D73E9" w:rsidP="0046072D">
      <w:pPr>
        <w:pStyle w:val="Default"/>
        <w:numPr>
          <w:ilvl w:val="0"/>
          <w:numId w:val="8"/>
        </w:numPr>
        <w:rPr>
          <w:sz w:val="22"/>
          <w:szCs w:val="22"/>
        </w:rPr>
      </w:pPr>
      <w:r>
        <w:rPr>
          <w:sz w:val="22"/>
          <w:szCs w:val="22"/>
        </w:rPr>
        <w:t xml:space="preserve">The council is charged with identifying critical issues facing faculty, providing a voice for faculty to the AAMC and serving as a bidirectional communication conduit between faculty and the AAMC regarding matters related to the core missions of academic medicine.  As our representatives, Drs Wootton, </w:t>
      </w:r>
      <w:proofErr w:type="spellStart"/>
      <w:r>
        <w:rPr>
          <w:sz w:val="22"/>
          <w:szCs w:val="22"/>
        </w:rPr>
        <w:t>Jantea</w:t>
      </w:r>
      <w:proofErr w:type="spellEnd"/>
      <w:r>
        <w:rPr>
          <w:sz w:val="22"/>
          <w:szCs w:val="22"/>
        </w:rPr>
        <w:t xml:space="preserve"> and </w:t>
      </w:r>
      <w:proofErr w:type="spellStart"/>
      <w:r>
        <w:rPr>
          <w:sz w:val="22"/>
          <w:szCs w:val="22"/>
        </w:rPr>
        <w:t>Ownby</w:t>
      </w:r>
      <w:proofErr w:type="spellEnd"/>
      <w:r>
        <w:rPr>
          <w:sz w:val="22"/>
          <w:szCs w:val="22"/>
        </w:rPr>
        <w:t xml:space="preserve"> would like to hear about critical issues from senators  </w:t>
      </w:r>
    </w:p>
    <w:p w14:paraId="4A42FEA5" w14:textId="77777777" w:rsidR="00FC27C2" w:rsidRPr="00321107" w:rsidRDefault="00873910" w:rsidP="0046072D">
      <w:pPr>
        <w:pStyle w:val="Default"/>
        <w:numPr>
          <w:ilvl w:val="0"/>
          <w:numId w:val="8"/>
        </w:numPr>
        <w:rPr>
          <w:sz w:val="22"/>
          <w:szCs w:val="22"/>
        </w:rPr>
      </w:pPr>
      <w:r w:rsidRPr="00321107">
        <w:rPr>
          <w:sz w:val="22"/>
          <w:szCs w:val="22"/>
        </w:rPr>
        <w:t xml:space="preserve">Invitation given by Dr. </w:t>
      </w:r>
      <w:proofErr w:type="spellStart"/>
      <w:r w:rsidRPr="00321107">
        <w:rPr>
          <w:sz w:val="22"/>
          <w:szCs w:val="22"/>
        </w:rPr>
        <w:t>Hergenroeder</w:t>
      </w:r>
      <w:proofErr w:type="spellEnd"/>
      <w:r w:rsidRPr="00321107">
        <w:rPr>
          <w:sz w:val="22"/>
          <w:szCs w:val="22"/>
        </w:rPr>
        <w:t xml:space="preserve"> – to present to the Faculty Senate on a regular basis</w:t>
      </w:r>
    </w:p>
    <w:p w14:paraId="072FD211" w14:textId="77777777" w:rsidR="00FD1A02" w:rsidRPr="00321107" w:rsidRDefault="00FD1A02" w:rsidP="00FD1A02">
      <w:pPr>
        <w:pStyle w:val="Default"/>
        <w:ind w:left="720"/>
        <w:rPr>
          <w:sz w:val="22"/>
          <w:szCs w:val="22"/>
        </w:rPr>
      </w:pPr>
    </w:p>
    <w:p w14:paraId="509A8CA6" w14:textId="77777777" w:rsidR="00AE0F10" w:rsidRPr="00321107" w:rsidRDefault="00AE0F10" w:rsidP="00AE0F10">
      <w:pPr>
        <w:pStyle w:val="Default"/>
        <w:rPr>
          <w:sz w:val="22"/>
          <w:szCs w:val="22"/>
        </w:rPr>
      </w:pPr>
      <w:r w:rsidRPr="00321107">
        <w:rPr>
          <w:sz w:val="22"/>
          <w:szCs w:val="22"/>
        </w:rPr>
        <w:t>b. Nominees for 2023-24 Faculty Senate Chair-Elect and Secretary-Elect</w:t>
      </w:r>
      <w:r w:rsidR="00FC27C2" w:rsidRPr="00321107">
        <w:rPr>
          <w:sz w:val="22"/>
          <w:szCs w:val="22"/>
        </w:rPr>
        <w:t>:</w:t>
      </w:r>
    </w:p>
    <w:p w14:paraId="5412982A" w14:textId="77777777" w:rsidR="00FC27C2" w:rsidRPr="00321107" w:rsidRDefault="00FC27C2" w:rsidP="00EE782D">
      <w:pPr>
        <w:pStyle w:val="Default"/>
        <w:numPr>
          <w:ilvl w:val="0"/>
          <w:numId w:val="9"/>
        </w:numPr>
        <w:rPr>
          <w:sz w:val="22"/>
          <w:szCs w:val="22"/>
        </w:rPr>
      </w:pPr>
      <w:r w:rsidRPr="00321107">
        <w:rPr>
          <w:sz w:val="22"/>
          <w:szCs w:val="22"/>
        </w:rPr>
        <w:t>Erin Fox, PhD – Nominee Chair-Elect, Associate Professor</w:t>
      </w:r>
      <w:r w:rsidR="00EE782D" w:rsidRPr="00321107">
        <w:rPr>
          <w:sz w:val="22"/>
          <w:szCs w:val="22"/>
        </w:rPr>
        <w:t xml:space="preserve">, </w:t>
      </w:r>
      <w:r w:rsidRPr="00321107">
        <w:rPr>
          <w:sz w:val="22"/>
          <w:szCs w:val="22"/>
        </w:rPr>
        <w:t>Dept of Surgery</w:t>
      </w:r>
    </w:p>
    <w:p w14:paraId="6864779F" w14:textId="77777777" w:rsidR="00EE782D" w:rsidRPr="00321107" w:rsidRDefault="00EE782D" w:rsidP="00EE782D">
      <w:pPr>
        <w:pStyle w:val="Default"/>
        <w:numPr>
          <w:ilvl w:val="0"/>
          <w:numId w:val="9"/>
        </w:numPr>
        <w:rPr>
          <w:sz w:val="22"/>
          <w:szCs w:val="22"/>
        </w:rPr>
      </w:pPr>
      <w:r w:rsidRPr="00321107">
        <w:rPr>
          <w:sz w:val="22"/>
          <w:szCs w:val="22"/>
        </w:rPr>
        <w:t>Mathew Baker, PhD – Nominee Secretary-Elect, Assistant Professor, Dept of Biochemistry and Molecular Biology</w:t>
      </w:r>
    </w:p>
    <w:p w14:paraId="714DEBF8" w14:textId="77777777" w:rsidR="00EE782D" w:rsidRPr="00321107" w:rsidRDefault="00EE782D" w:rsidP="00EE782D">
      <w:pPr>
        <w:pStyle w:val="Default"/>
        <w:ind w:left="720"/>
        <w:rPr>
          <w:sz w:val="22"/>
          <w:szCs w:val="22"/>
        </w:rPr>
      </w:pPr>
    </w:p>
    <w:p w14:paraId="556287CC" w14:textId="77777777" w:rsidR="00AE0F10" w:rsidRPr="00321107" w:rsidRDefault="00AE0F10" w:rsidP="00AE0F10">
      <w:pPr>
        <w:pStyle w:val="Default"/>
        <w:rPr>
          <w:sz w:val="22"/>
          <w:szCs w:val="22"/>
        </w:rPr>
      </w:pPr>
      <w:r w:rsidRPr="00321107">
        <w:rPr>
          <w:sz w:val="22"/>
          <w:szCs w:val="22"/>
        </w:rPr>
        <w:t xml:space="preserve">7. Announcements </w:t>
      </w:r>
    </w:p>
    <w:p w14:paraId="40007CF1" w14:textId="77777777" w:rsidR="00AE0F10" w:rsidRPr="00321107" w:rsidRDefault="00AE0F10" w:rsidP="00AE0F10">
      <w:pPr>
        <w:pStyle w:val="Default"/>
        <w:rPr>
          <w:sz w:val="22"/>
          <w:szCs w:val="22"/>
        </w:rPr>
      </w:pPr>
      <w:r w:rsidRPr="00321107">
        <w:rPr>
          <w:sz w:val="22"/>
          <w:szCs w:val="22"/>
        </w:rPr>
        <w:t xml:space="preserve">a. Women Faculty Forum Spring Roundtable Event, presenting Julianne </w:t>
      </w:r>
      <w:proofErr w:type="spellStart"/>
      <w:r w:rsidRPr="00321107">
        <w:rPr>
          <w:sz w:val="22"/>
          <w:szCs w:val="22"/>
        </w:rPr>
        <w:t>Cenac</w:t>
      </w:r>
      <w:proofErr w:type="spellEnd"/>
      <w:r w:rsidRPr="00321107">
        <w:rPr>
          <w:sz w:val="22"/>
          <w:szCs w:val="22"/>
        </w:rPr>
        <w:t xml:space="preserve">, Ph.D., </w:t>
      </w:r>
    </w:p>
    <w:p w14:paraId="6DC60F9A" w14:textId="77777777" w:rsidR="00AE0F10" w:rsidRPr="00321107" w:rsidRDefault="00AE0F10" w:rsidP="00AE0F10">
      <w:pPr>
        <w:pStyle w:val="Default"/>
        <w:rPr>
          <w:sz w:val="22"/>
          <w:szCs w:val="22"/>
        </w:rPr>
      </w:pPr>
      <w:r w:rsidRPr="00321107">
        <w:rPr>
          <w:sz w:val="22"/>
          <w:szCs w:val="22"/>
        </w:rPr>
        <w:t xml:space="preserve">Associate Vice President of Organizational and Talent Development, </w:t>
      </w:r>
      <w:r w:rsidRPr="00321107">
        <w:rPr>
          <w:i/>
          <w:iCs/>
          <w:sz w:val="22"/>
          <w:szCs w:val="22"/>
        </w:rPr>
        <w:t>“Responses to Microaggressions in the Workplace”</w:t>
      </w:r>
      <w:r w:rsidRPr="00321107">
        <w:rPr>
          <w:sz w:val="22"/>
          <w:szCs w:val="22"/>
        </w:rPr>
        <w:t xml:space="preserve">. The interactive session will cover allyship, emotional intelligence and conflict management with fellow women faculty. </w:t>
      </w:r>
      <w:r w:rsidR="00EE782D" w:rsidRPr="00321107">
        <w:rPr>
          <w:sz w:val="22"/>
          <w:szCs w:val="22"/>
        </w:rPr>
        <w:t>June 29</w:t>
      </w:r>
      <w:r w:rsidR="00EE782D" w:rsidRPr="00321107">
        <w:rPr>
          <w:sz w:val="22"/>
          <w:szCs w:val="22"/>
          <w:vertAlign w:val="superscript"/>
        </w:rPr>
        <w:t>th</w:t>
      </w:r>
      <w:r w:rsidR="00EE782D" w:rsidRPr="00321107">
        <w:rPr>
          <w:sz w:val="22"/>
          <w:szCs w:val="22"/>
        </w:rPr>
        <w:t xml:space="preserve"> at 4pm.</w:t>
      </w:r>
    </w:p>
    <w:p w14:paraId="62516FEB" w14:textId="77777777" w:rsidR="00AE0F10" w:rsidRPr="00321107" w:rsidRDefault="00AE0F10" w:rsidP="00AE0F10">
      <w:pPr>
        <w:pStyle w:val="Default"/>
        <w:rPr>
          <w:color w:val="0562C1"/>
          <w:sz w:val="22"/>
          <w:szCs w:val="22"/>
        </w:rPr>
      </w:pPr>
      <w:r w:rsidRPr="00321107">
        <w:rPr>
          <w:color w:val="0562C1"/>
          <w:sz w:val="22"/>
          <w:szCs w:val="22"/>
        </w:rPr>
        <w:t xml:space="preserve">https://med.uth.edu/administration/women-faculty-forum/ </w:t>
      </w:r>
    </w:p>
    <w:p w14:paraId="693F76A4" w14:textId="77777777" w:rsidR="00EE782D" w:rsidRPr="00321107" w:rsidRDefault="00EE782D" w:rsidP="00AE0F10">
      <w:pPr>
        <w:pStyle w:val="Default"/>
        <w:rPr>
          <w:color w:val="0562C1"/>
          <w:sz w:val="22"/>
          <w:szCs w:val="22"/>
        </w:rPr>
      </w:pPr>
      <w:r w:rsidRPr="00321107">
        <w:rPr>
          <w:color w:val="0562C1"/>
          <w:sz w:val="22"/>
          <w:szCs w:val="22"/>
        </w:rPr>
        <w:t xml:space="preserve"> </w:t>
      </w:r>
    </w:p>
    <w:p w14:paraId="42B75D7A" w14:textId="77777777" w:rsidR="00AE0F10" w:rsidRPr="00321107" w:rsidRDefault="00AE0F10" w:rsidP="00AE0F10">
      <w:pPr>
        <w:pStyle w:val="Default"/>
        <w:rPr>
          <w:sz w:val="22"/>
          <w:szCs w:val="22"/>
        </w:rPr>
      </w:pPr>
      <w:r w:rsidRPr="00321107">
        <w:rPr>
          <w:sz w:val="22"/>
          <w:szCs w:val="22"/>
        </w:rPr>
        <w:t xml:space="preserve">b. Hurricane Season: June 1 – November 30 </w:t>
      </w:r>
    </w:p>
    <w:p w14:paraId="0F89DA61" w14:textId="77777777" w:rsidR="00AE0F10" w:rsidRPr="00321107" w:rsidRDefault="00AE0F10" w:rsidP="00AE0F10">
      <w:pPr>
        <w:pStyle w:val="Default"/>
        <w:rPr>
          <w:color w:val="0562C1"/>
          <w:sz w:val="22"/>
          <w:szCs w:val="22"/>
        </w:rPr>
      </w:pPr>
      <w:r w:rsidRPr="00321107">
        <w:rPr>
          <w:color w:val="0562C1"/>
          <w:sz w:val="22"/>
          <w:szCs w:val="22"/>
        </w:rPr>
        <w:t xml:space="preserve">https://inside.uth.edu/inside/story.htm?id=a2804892-b09d-44a5-8deb-53f220977d73 </w:t>
      </w:r>
    </w:p>
    <w:p w14:paraId="368B7289" w14:textId="77777777" w:rsidR="00FD1A02" w:rsidRPr="00321107" w:rsidRDefault="00FD1A02" w:rsidP="00AE0F10">
      <w:pPr>
        <w:pStyle w:val="Default"/>
        <w:rPr>
          <w:color w:val="0562C1"/>
          <w:sz w:val="22"/>
          <w:szCs w:val="22"/>
        </w:rPr>
      </w:pPr>
    </w:p>
    <w:p w14:paraId="1EB5CD8F" w14:textId="2FA6CFDB" w:rsidR="00AE0F10" w:rsidRDefault="00AE0F10" w:rsidP="00AE0F10">
      <w:pPr>
        <w:pStyle w:val="Default"/>
        <w:rPr>
          <w:sz w:val="22"/>
          <w:szCs w:val="22"/>
        </w:rPr>
      </w:pPr>
      <w:r w:rsidRPr="00321107">
        <w:rPr>
          <w:sz w:val="22"/>
          <w:szCs w:val="22"/>
        </w:rPr>
        <w:t>8. Adjournment</w:t>
      </w:r>
      <w:r w:rsidR="00EE782D" w:rsidRPr="00321107">
        <w:rPr>
          <w:sz w:val="22"/>
          <w:szCs w:val="22"/>
        </w:rPr>
        <w:t>: 5:26 pm</w:t>
      </w:r>
    </w:p>
    <w:p w14:paraId="2D80DDA6" w14:textId="43C40205" w:rsidR="007011C0" w:rsidRDefault="007011C0" w:rsidP="00AE0F10">
      <w:pPr>
        <w:pStyle w:val="Default"/>
        <w:rPr>
          <w:sz w:val="22"/>
          <w:szCs w:val="22"/>
        </w:rPr>
      </w:pPr>
    </w:p>
    <w:p w14:paraId="518E560D" w14:textId="77777777" w:rsidR="007011C0" w:rsidRPr="00321107" w:rsidRDefault="007011C0" w:rsidP="00AE0F10">
      <w:pPr>
        <w:pStyle w:val="Default"/>
        <w:rPr>
          <w:sz w:val="22"/>
          <w:szCs w:val="22"/>
        </w:rPr>
      </w:pPr>
      <w:bookmarkStart w:id="1" w:name="_GoBack"/>
      <w:bookmarkEnd w:id="1"/>
    </w:p>
    <w:p w14:paraId="3F9BADFB" w14:textId="77777777" w:rsidR="00FD1A02" w:rsidRPr="00321107" w:rsidRDefault="00FD1A02" w:rsidP="00AE0F10">
      <w:pPr>
        <w:pStyle w:val="Default"/>
        <w:rPr>
          <w:sz w:val="22"/>
          <w:szCs w:val="22"/>
        </w:rPr>
      </w:pPr>
    </w:p>
    <w:p w14:paraId="526E5784" w14:textId="77777777" w:rsidR="00BB5058" w:rsidRPr="00321107" w:rsidRDefault="00AE0F10" w:rsidP="00367248">
      <w:pPr>
        <w:jc w:val="center"/>
        <w:rPr>
          <w:rFonts w:ascii="Times New Roman" w:hAnsi="Times New Roman" w:cs="Times New Roman"/>
          <w:b/>
          <w:bCs/>
        </w:rPr>
      </w:pPr>
      <w:r w:rsidRPr="00321107">
        <w:rPr>
          <w:rFonts w:ascii="Times New Roman" w:hAnsi="Times New Roman" w:cs="Times New Roman"/>
          <w:b/>
          <w:bCs/>
        </w:rPr>
        <w:t>Next meeting: Thursday, July 20, 2023 at 4</w:t>
      </w:r>
      <w:r w:rsidR="00321107" w:rsidRPr="00321107">
        <w:rPr>
          <w:rFonts w:ascii="Times New Roman" w:hAnsi="Times New Roman" w:cs="Times New Roman"/>
          <w:b/>
          <w:bCs/>
        </w:rPr>
        <w:t>:30 via ZOOM</w:t>
      </w:r>
    </w:p>
    <w:p w14:paraId="6E203AEB" w14:textId="7240279E" w:rsidR="00321107" w:rsidRPr="00321107" w:rsidRDefault="00321107" w:rsidP="00367248">
      <w:pPr>
        <w:pStyle w:val="Default"/>
        <w:jc w:val="center"/>
        <w:rPr>
          <w:sz w:val="22"/>
          <w:szCs w:val="22"/>
        </w:rPr>
      </w:pPr>
      <w:r w:rsidRPr="00321107">
        <w:rPr>
          <w:sz w:val="22"/>
          <w:szCs w:val="22"/>
        </w:rPr>
        <w:t xml:space="preserve">Dr. Georgene </w:t>
      </w:r>
      <w:proofErr w:type="spellStart"/>
      <w:r w:rsidRPr="00321107">
        <w:rPr>
          <w:sz w:val="22"/>
          <w:szCs w:val="22"/>
        </w:rPr>
        <w:t>Hergenroeder</w:t>
      </w:r>
      <w:proofErr w:type="spellEnd"/>
      <w:r w:rsidRPr="00321107">
        <w:rPr>
          <w:sz w:val="22"/>
          <w:szCs w:val="22"/>
        </w:rPr>
        <w:t xml:space="preserve"> – Chair</w:t>
      </w:r>
    </w:p>
    <w:p w14:paraId="65812CA6" w14:textId="223CCCD7" w:rsidR="00321107" w:rsidRPr="00321107" w:rsidRDefault="00321107" w:rsidP="00367248">
      <w:pPr>
        <w:pStyle w:val="Default"/>
        <w:jc w:val="center"/>
        <w:rPr>
          <w:sz w:val="22"/>
          <w:szCs w:val="22"/>
        </w:rPr>
      </w:pPr>
      <w:r w:rsidRPr="00321107">
        <w:rPr>
          <w:sz w:val="22"/>
          <w:szCs w:val="22"/>
        </w:rPr>
        <w:t>Dr. Summer Ott – Chair-Elect</w:t>
      </w:r>
    </w:p>
    <w:p w14:paraId="279AD012" w14:textId="118B1213" w:rsidR="00321107" w:rsidRPr="00321107" w:rsidRDefault="00321107" w:rsidP="00367248">
      <w:pPr>
        <w:pStyle w:val="Default"/>
        <w:jc w:val="center"/>
        <w:rPr>
          <w:sz w:val="22"/>
          <w:szCs w:val="22"/>
        </w:rPr>
      </w:pPr>
      <w:r w:rsidRPr="00321107">
        <w:rPr>
          <w:sz w:val="22"/>
          <w:szCs w:val="22"/>
        </w:rPr>
        <w:t xml:space="preserve">Dr. </w:t>
      </w:r>
      <w:proofErr w:type="spellStart"/>
      <w:r w:rsidRPr="00321107">
        <w:rPr>
          <w:sz w:val="22"/>
          <w:szCs w:val="22"/>
        </w:rPr>
        <w:t>Simbo</w:t>
      </w:r>
      <w:proofErr w:type="spellEnd"/>
      <w:r w:rsidRPr="00321107">
        <w:rPr>
          <w:sz w:val="22"/>
          <w:szCs w:val="22"/>
        </w:rPr>
        <w:t xml:space="preserve"> </w:t>
      </w:r>
      <w:proofErr w:type="spellStart"/>
      <w:r w:rsidRPr="00321107">
        <w:rPr>
          <w:sz w:val="22"/>
          <w:szCs w:val="22"/>
        </w:rPr>
        <w:t>Chiadika</w:t>
      </w:r>
      <w:proofErr w:type="spellEnd"/>
      <w:r w:rsidRPr="00321107">
        <w:rPr>
          <w:sz w:val="22"/>
          <w:szCs w:val="22"/>
        </w:rPr>
        <w:t xml:space="preserve"> – Secretary</w:t>
      </w:r>
    </w:p>
    <w:p w14:paraId="792D0E5D" w14:textId="1F411EB3" w:rsidR="00321107" w:rsidRPr="00321107" w:rsidRDefault="00321107" w:rsidP="00367248">
      <w:pPr>
        <w:pStyle w:val="Default"/>
        <w:jc w:val="center"/>
        <w:rPr>
          <w:sz w:val="22"/>
          <w:szCs w:val="22"/>
        </w:rPr>
      </w:pPr>
      <w:r w:rsidRPr="00321107">
        <w:rPr>
          <w:sz w:val="22"/>
          <w:szCs w:val="22"/>
        </w:rPr>
        <w:t>Kathryn Leal, MS, CGC – Secretary-Elect</w:t>
      </w:r>
    </w:p>
    <w:p w14:paraId="508CFF18" w14:textId="20436A8F" w:rsidR="00321107" w:rsidRPr="00321107" w:rsidRDefault="00321107" w:rsidP="00367248">
      <w:pPr>
        <w:pStyle w:val="Default"/>
        <w:jc w:val="center"/>
        <w:rPr>
          <w:sz w:val="22"/>
          <w:szCs w:val="22"/>
        </w:rPr>
      </w:pPr>
      <w:r w:rsidRPr="00321107">
        <w:rPr>
          <w:sz w:val="22"/>
          <w:szCs w:val="22"/>
        </w:rPr>
        <w:t xml:space="preserve">Dr. Nahid </w:t>
      </w:r>
      <w:proofErr w:type="spellStart"/>
      <w:r w:rsidRPr="00321107">
        <w:rPr>
          <w:sz w:val="22"/>
          <w:szCs w:val="22"/>
        </w:rPr>
        <w:t>Rianon</w:t>
      </w:r>
      <w:proofErr w:type="spellEnd"/>
      <w:r w:rsidRPr="00321107">
        <w:rPr>
          <w:sz w:val="22"/>
          <w:szCs w:val="22"/>
        </w:rPr>
        <w:t xml:space="preserve"> – 2021-2022 Past-Chair</w:t>
      </w:r>
    </w:p>
    <w:p w14:paraId="4C23188E" w14:textId="77777777" w:rsidR="00321107" w:rsidRPr="00321107" w:rsidRDefault="00321107" w:rsidP="00367248">
      <w:pPr>
        <w:pStyle w:val="Default"/>
        <w:jc w:val="center"/>
        <w:rPr>
          <w:b/>
          <w:bCs/>
          <w:color w:val="0562C1"/>
          <w:sz w:val="22"/>
          <w:szCs w:val="22"/>
        </w:rPr>
      </w:pPr>
    </w:p>
    <w:p w14:paraId="7971DB72" w14:textId="555BA5E6" w:rsidR="00321107" w:rsidRPr="00321107" w:rsidRDefault="00321107" w:rsidP="00367248">
      <w:pPr>
        <w:pStyle w:val="Default"/>
        <w:jc w:val="center"/>
        <w:rPr>
          <w:sz w:val="22"/>
          <w:szCs w:val="22"/>
        </w:rPr>
      </w:pPr>
      <w:r w:rsidRPr="00321107">
        <w:rPr>
          <w:b/>
          <w:bCs/>
          <w:color w:val="0562C1"/>
          <w:sz w:val="22"/>
          <w:szCs w:val="22"/>
        </w:rPr>
        <w:t>https://med.uth.edu/faculty-senate/</w:t>
      </w:r>
    </w:p>
    <w:p w14:paraId="1FFC98C8" w14:textId="77777777" w:rsidR="00321107" w:rsidRDefault="00321107" w:rsidP="00AE0F10">
      <w:pPr>
        <w:rPr>
          <w:rFonts w:ascii="Times New Roman" w:hAnsi="Times New Roman" w:cs="Times New Roman"/>
        </w:rPr>
      </w:pPr>
    </w:p>
    <w:p w14:paraId="355CB32A" w14:textId="77777777" w:rsidR="00B45E56" w:rsidRDefault="00B45E56" w:rsidP="00AE0F10">
      <w:pPr>
        <w:rPr>
          <w:rFonts w:ascii="Times New Roman" w:hAnsi="Times New Roman" w:cs="Times New Roman"/>
        </w:rPr>
      </w:pPr>
    </w:p>
    <w:p w14:paraId="293F261A" w14:textId="77777777" w:rsidR="00B45E56" w:rsidRDefault="00B45E56" w:rsidP="00AE0F10">
      <w:pPr>
        <w:rPr>
          <w:rFonts w:ascii="Times New Roman" w:hAnsi="Times New Roman" w:cs="Times New Roman"/>
        </w:rPr>
      </w:pPr>
    </w:p>
    <w:p w14:paraId="4BF15978" w14:textId="77777777" w:rsidR="007011C0" w:rsidRDefault="007011C0" w:rsidP="00AE0F10">
      <w:pPr>
        <w:rPr>
          <w:rFonts w:ascii="Times New Roman" w:hAnsi="Times New Roman" w:cs="Times New Roman"/>
        </w:rPr>
      </w:pPr>
    </w:p>
    <w:p w14:paraId="3F76123F" w14:textId="77777777" w:rsidR="007011C0" w:rsidRDefault="007011C0" w:rsidP="00AE0F10">
      <w:pPr>
        <w:rPr>
          <w:rFonts w:ascii="Times New Roman" w:hAnsi="Times New Roman" w:cs="Times New Roman"/>
        </w:rPr>
      </w:pPr>
    </w:p>
    <w:p w14:paraId="0A5D72FB" w14:textId="05022C9C" w:rsidR="00B45E56" w:rsidRDefault="00B45E56" w:rsidP="00AE0F10">
      <w:pPr>
        <w:rPr>
          <w:rFonts w:ascii="Times New Roman" w:hAnsi="Times New Roman" w:cs="Times New Roman"/>
        </w:rPr>
      </w:pPr>
      <w:r>
        <w:rPr>
          <w:rFonts w:ascii="Times New Roman" w:hAnsi="Times New Roman" w:cs="Times New Roman"/>
        </w:rPr>
        <w:t>Supplement:</w:t>
      </w:r>
    </w:p>
    <w:p w14:paraId="379BA425" w14:textId="3EBDD65A" w:rsidR="00B45E56" w:rsidRPr="00B45E56" w:rsidRDefault="00B45E56" w:rsidP="00B45E56">
      <w:pPr>
        <w:rPr>
          <w:rFonts w:ascii="Times New Roman" w:hAnsi="Times New Roman" w:cs="Times New Roman"/>
        </w:rPr>
      </w:pPr>
      <w:r>
        <w:rPr>
          <w:rFonts w:ascii="Times New Roman" w:hAnsi="Times New Roman" w:cs="Times New Roman"/>
        </w:rPr>
        <w:t>T</w:t>
      </w:r>
      <w:r w:rsidRPr="00B45E56">
        <w:rPr>
          <w:rFonts w:ascii="Times New Roman" w:hAnsi="Times New Roman" w:cs="Times New Roman"/>
        </w:rPr>
        <w:t>he Council of Faculty and Academic Societies (CFAS) is a Council of the AAMC that identifies critical issues facing medical school faculty and academic societies and works directly with AAMC leadership to solve problems and share resources and solutions. McGovern Medical School has two appointed representatives to facilitate communication between its faculty and CFAS, and they need to hear directly from faculty about the issues they're facing. Hot Topics at the most recent CFAS meeting included: thriving in academic medicine through mission alignment, faculty well-being (</w:t>
      </w:r>
      <w:hyperlink r:id="rId5" w:tgtFrame="_blank" w:history="1">
        <w:r w:rsidRPr="00B45E56">
          <w:rPr>
            <w:rStyle w:val="Hyperlink"/>
            <w:rFonts w:ascii="Times New Roman" w:hAnsi="Times New Roman" w:cs="Times New Roman"/>
          </w:rPr>
          <w:t>https://www.aamc.org/news/wellbeing</w:t>
        </w:r>
      </w:hyperlink>
      <w:r w:rsidRPr="00B45E56">
        <w:rPr>
          <w:rFonts w:ascii="Times New Roman" w:hAnsi="Times New Roman" w:cs="Times New Roman"/>
        </w:rPr>
        <w:t>), implicit bias, salary equity, and supporting faculty as medical educators. Faculty are asked to reach out to McGovern representatives with any issues they'd like to see addressed.</w:t>
      </w:r>
    </w:p>
    <w:p w14:paraId="184899A0" w14:textId="13D51B95" w:rsidR="00B45E56" w:rsidRPr="00B45E56" w:rsidRDefault="00B45E56" w:rsidP="00B45E56">
      <w:pPr>
        <w:rPr>
          <w:rFonts w:ascii="Times New Roman" w:hAnsi="Times New Roman" w:cs="Times New Roman"/>
        </w:rPr>
      </w:pPr>
      <w:r w:rsidRPr="00B45E56">
        <w:rPr>
          <w:rFonts w:ascii="Times New Roman" w:hAnsi="Times New Roman" w:cs="Times New Roman"/>
        </w:rPr>
        <w:t> Susan H. Wootton, MD, Professor, Pediatric Infectious Diseases, UTHealth - Senior Faculty CFAS Representative </w:t>
      </w:r>
      <w:hyperlink r:id="rId6" w:history="1">
        <w:r w:rsidRPr="00B45E56">
          <w:rPr>
            <w:rStyle w:val="Hyperlink"/>
            <w:rFonts w:ascii="Times New Roman" w:hAnsi="Times New Roman" w:cs="Times New Roman"/>
          </w:rPr>
          <w:t>Susan.H.Wootton@uth.tmc.edu</w:t>
        </w:r>
      </w:hyperlink>
    </w:p>
    <w:p w14:paraId="343A4DD7" w14:textId="77777777" w:rsidR="00B45E56" w:rsidRPr="00B45E56" w:rsidRDefault="00B45E56" w:rsidP="00B45E56">
      <w:pPr>
        <w:rPr>
          <w:rFonts w:ascii="Times New Roman" w:hAnsi="Times New Roman" w:cs="Times New Roman"/>
        </w:rPr>
      </w:pPr>
      <w:r w:rsidRPr="00B45E56">
        <w:rPr>
          <w:rFonts w:ascii="Times New Roman" w:hAnsi="Times New Roman" w:cs="Times New Roman"/>
        </w:rPr>
        <w:t xml:space="preserve">Rachel </w:t>
      </w:r>
      <w:proofErr w:type="spellStart"/>
      <w:r w:rsidRPr="00B45E56">
        <w:rPr>
          <w:rFonts w:ascii="Times New Roman" w:hAnsi="Times New Roman" w:cs="Times New Roman"/>
        </w:rPr>
        <w:t>Jantea</w:t>
      </w:r>
      <w:proofErr w:type="spellEnd"/>
      <w:r w:rsidRPr="00B45E56">
        <w:rPr>
          <w:rFonts w:ascii="Times New Roman" w:hAnsi="Times New Roman" w:cs="Times New Roman"/>
        </w:rPr>
        <w:t>, Assistant Professor, Geriatric and Palliative medicine, UTHealth - Junior Faculty CFAS Representative </w:t>
      </w:r>
      <w:hyperlink r:id="rId7" w:history="1">
        <w:r w:rsidRPr="00B45E56">
          <w:rPr>
            <w:rStyle w:val="Hyperlink"/>
            <w:rFonts w:ascii="Times New Roman" w:hAnsi="Times New Roman" w:cs="Times New Roman"/>
          </w:rPr>
          <w:t>Rachel.Jantea@uth.tmc.edu</w:t>
        </w:r>
      </w:hyperlink>
    </w:p>
    <w:p w14:paraId="1F21CA7C" w14:textId="77777777" w:rsidR="00B45E56" w:rsidRPr="00321107" w:rsidRDefault="00B45E56" w:rsidP="00AE0F10">
      <w:pPr>
        <w:rPr>
          <w:rFonts w:ascii="Times New Roman" w:hAnsi="Times New Roman" w:cs="Times New Roman"/>
        </w:rPr>
      </w:pPr>
    </w:p>
    <w:sectPr w:rsidR="00B45E56" w:rsidRPr="00321107" w:rsidSect="007011C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71F"/>
    <w:multiLevelType w:val="hybridMultilevel"/>
    <w:tmpl w:val="BA528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7803"/>
    <w:multiLevelType w:val="hybridMultilevel"/>
    <w:tmpl w:val="C9D22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1A18"/>
    <w:multiLevelType w:val="hybridMultilevel"/>
    <w:tmpl w:val="8C728B7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BB96569"/>
    <w:multiLevelType w:val="hybridMultilevel"/>
    <w:tmpl w:val="86A88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D1FE7"/>
    <w:multiLevelType w:val="hybridMultilevel"/>
    <w:tmpl w:val="9558D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4EBD"/>
    <w:multiLevelType w:val="hybridMultilevel"/>
    <w:tmpl w:val="D05A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6D40BB"/>
    <w:multiLevelType w:val="hybridMultilevel"/>
    <w:tmpl w:val="F8022406"/>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25D7B5E"/>
    <w:multiLevelType w:val="hybridMultilevel"/>
    <w:tmpl w:val="C0C4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B37F0"/>
    <w:multiLevelType w:val="hybridMultilevel"/>
    <w:tmpl w:val="50DA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8961D4"/>
    <w:multiLevelType w:val="hybridMultilevel"/>
    <w:tmpl w:val="F3FEECD4"/>
    <w:lvl w:ilvl="0" w:tplc="DA32700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C2B35"/>
    <w:multiLevelType w:val="hybridMultilevel"/>
    <w:tmpl w:val="E25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E61B8"/>
    <w:multiLevelType w:val="hybridMultilevel"/>
    <w:tmpl w:val="106E9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533110"/>
    <w:multiLevelType w:val="hybridMultilevel"/>
    <w:tmpl w:val="C61C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41C10"/>
    <w:multiLevelType w:val="hybridMultilevel"/>
    <w:tmpl w:val="291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F194B"/>
    <w:multiLevelType w:val="hybridMultilevel"/>
    <w:tmpl w:val="BD7A8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10"/>
  </w:num>
  <w:num w:numId="4">
    <w:abstractNumId w:val="13"/>
  </w:num>
  <w:num w:numId="5">
    <w:abstractNumId w:val="7"/>
  </w:num>
  <w:num w:numId="6">
    <w:abstractNumId w:val="9"/>
  </w:num>
  <w:num w:numId="7">
    <w:abstractNumId w:val="1"/>
  </w:num>
  <w:num w:numId="8">
    <w:abstractNumId w:val="3"/>
  </w:num>
  <w:num w:numId="9">
    <w:abstractNumId w:val="0"/>
  </w:num>
  <w:num w:numId="10">
    <w:abstractNumId w:val="2"/>
  </w:num>
  <w:num w:numId="11">
    <w:abstractNumId w:val="6"/>
  </w:num>
  <w:num w:numId="12">
    <w:abstractNumId w:val="8"/>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0"/>
    <w:rsid w:val="00042AD3"/>
    <w:rsid w:val="002315C5"/>
    <w:rsid w:val="002B0FF6"/>
    <w:rsid w:val="003040B7"/>
    <w:rsid w:val="00321107"/>
    <w:rsid w:val="00367248"/>
    <w:rsid w:val="0046072D"/>
    <w:rsid w:val="004B23A5"/>
    <w:rsid w:val="005D73E9"/>
    <w:rsid w:val="005E08AE"/>
    <w:rsid w:val="007011C0"/>
    <w:rsid w:val="00723A68"/>
    <w:rsid w:val="00766BD0"/>
    <w:rsid w:val="00775203"/>
    <w:rsid w:val="00873910"/>
    <w:rsid w:val="009F5722"/>
    <w:rsid w:val="00AB7680"/>
    <w:rsid w:val="00AE0F10"/>
    <w:rsid w:val="00B00880"/>
    <w:rsid w:val="00B45E56"/>
    <w:rsid w:val="00BB5058"/>
    <w:rsid w:val="00C00E0D"/>
    <w:rsid w:val="00CE495E"/>
    <w:rsid w:val="00CF3BEA"/>
    <w:rsid w:val="00DC3219"/>
    <w:rsid w:val="00DC6144"/>
    <w:rsid w:val="00E84F50"/>
    <w:rsid w:val="00EE782D"/>
    <w:rsid w:val="00FC27C2"/>
    <w:rsid w:val="00FD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F813"/>
  <w15:chartTrackingRefBased/>
  <w15:docId w15:val="{9DE99E13-9E4C-45A6-A3E4-2F93FC89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F1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B0FF6"/>
    <w:rPr>
      <w:sz w:val="16"/>
      <w:szCs w:val="16"/>
    </w:rPr>
  </w:style>
  <w:style w:type="paragraph" w:styleId="CommentText">
    <w:name w:val="annotation text"/>
    <w:basedOn w:val="Normal"/>
    <w:link w:val="CommentTextChar"/>
    <w:uiPriority w:val="99"/>
    <w:semiHidden/>
    <w:unhideWhenUsed/>
    <w:rsid w:val="002B0FF6"/>
    <w:pPr>
      <w:spacing w:line="240" w:lineRule="auto"/>
    </w:pPr>
    <w:rPr>
      <w:sz w:val="20"/>
      <w:szCs w:val="20"/>
    </w:rPr>
  </w:style>
  <w:style w:type="character" w:customStyle="1" w:styleId="CommentTextChar">
    <w:name w:val="Comment Text Char"/>
    <w:basedOn w:val="DefaultParagraphFont"/>
    <w:link w:val="CommentText"/>
    <w:uiPriority w:val="99"/>
    <w:semiHidden/>
    <w:rsid w:val="002B0FF6"/>
    <w:rPr>
      <w:sz w:val="20"/>
      <w:szCs w:val="20"/>
    </w:rPr>
  </w:style>
  <w:style w:type="paragraph" w:styleId="CommentSubject">
    <w:name w:val="annotation subject"/>
    <w:basedOn w:val="CommentText"/>
    <w:next w:val="CommentText"/>
    <w:link w:val="CommentSubjectChar"/>
    <w:uiPriority w:val="99"/>
    <w:semiHidden/>
    <w:unhideWhenUsed/>
    <w:rsid w:val="002B0FF6"/>
    <w:rPr>
      <w:b/>
      <w:bCs/>
    </w:rPr>
  </w:style>
  <w:style w:type="character" w:customStyle="1" w:styleId="CommentSubjectChar">
    <w:name w:val="Comment Subject Char"/>
    <w:basedOn w:val="CommentTextChar"/>
    <w:link w:val="CommentSubject"/>
    <w:uiPriority w:val="99"/>
    <w:semiHidden/>
    <w:rsid w:val="002B0FF6"/>
    <w:rPr>
      <w:b/>
      <w:bCs/>
      <w:sz w:val="20"/>
      <w:szCs w:val="20"/>
    </w:rPr>
  </w:style>
  <w:style w:type="paragraph" w:styleId="BalloonText">
    <w:name w:val="Balloon Text"/>
    <w:basedOn w:val="Normal"/>
    <w:link w:val="BalloonTextChar"/>
    <w:uiPriority w:val="99"/>
    <w:semiHidden/>
    <w:unhideWhenUsed/>
    <w:rsid w:val="002B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FF6"/>
    <w:rPr>
      <w:rFonts w:ascii="Segoe UI" w:hAnsi="Segoe UI" w:cs="Segoe UI"/>
      <w:sz w:val="18"/>
      <w:szCs w:val="18"/>
    </w:rPr>
  </w:style>
  <w:style w:type="character" w:styleId="Hyperlink">
    <w:name w:val="Hyperlink"/>
    <w:basedOn w:val="DefaultParagraphFont"/>
    <w:uiPriority w:val="99"/>
    <w:unhideWhenUsed/>
    <w:rsid w:val="00B45E56"/>
    <w:rPr>
      <w:color w:val="0563C1" w:themeColor="hyperlink"/>
      <w:u w:val="single"/>
    </w:rPr>
  </w:style>
  <w:style w:type="character" w:styleId="UnresolvedMention">
    <w:name w:val="Unresolved Mention"/>
    <w:basedOn w:val="DefaultParagraphFont"/>
    <w:uiPriority w:val="99"/>
    <w:semiHidden/>
    <w:unhideWhenUsed/>
    <w:rsid w:val="00B45E56"/>
    <w:rPr>
      <w:color w:val="605E5C"/>
      <w:shd w:val="clear" w:color="auto" w:fill="E1DFDD"/>
    </w:rPr>
  </w:style>
  <w:style w:type="paragraph" w:styleId="Revision">
    <w:name w:val="Revision"/>
    <w:hidden/>
    <w:uiPriority w:val="99"/>
    <w:semiHidden/>
    <w:rsid w:val="0030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893041">
      <w:bodyDiv w:val="1"/>
      <w:marLeft w:val="0"/>
      <w:marRight w:val="0"/>
      <w:marTop w:val="0"/>
      <w:marBottom w:val="0"/>
      <w:divBdr>
        <w:top w:val="none" w:sz="0" w:space="0" w:color="auto"/>
        <w:left w:val="none" w:sz="0" w:space="0" w:color="auto"/>
        <w:bottom w:val="none" w:sz="0" w:space="0" w:color="auto"/>
        <w:right w:val="none" w:sz="0" w:space="0" w:color="auto"/>
      </w:divBdr>
      <w:divsChild>
        <w:div w:id="799885901">
          <w:marLeft w:val="0"/>
          <w:marRight w:val="0"/>
          <w:marTop w:val="0"/>
          <w:marBottom w:val="0"/>
          <w:divBdr>
            <w:top w:val="none" w:sz="0" w:space="0" w:color="auto"/>
            <w:left w:val="none" w:sz="0" w:space="0" w:color="auto"/>
            <w:bottom w:val="none" w:sz="0" w:space="0" w:color="auto"/>
            <w:right w:val="none" w:sz="0" w:space="0" w:color="auto"/>
          </w:divBdr>
        </w:div>
        <w:div w:id="2107842449">
          <w:marLeft w:val="0"/>
          <w:marRight w:val="0"/>
          <w:marTop w:val="0"/>
          <w:marBottom w:val="0"/>
          <w:divBdr>
            <w:top w:val="none" w:sz="0" w:space="0" w:color="auto"/>
            <w:left w:val="none" w:sz="0" w:space="0" w:color="auto"/>
            <w:bottom w:val="none" w:sz="0" w:space="0" w:color="auto"/>
            <w:right w:val="none" w:sz="0" w:space="0" w:color="auto"/>
          </w:divBdr>
        </w:div>
        <w:div w:id="2141724807">
          <w:marLeft w:val="0"/>
          <w:marRight w:val="0"/>
          <w:marTop w:val="0"/>
          <w:marBottom w:val="0"/>
          <w:divBdr>
            <w:top w:val="none" w:sz="0" w:space="0" w:color="auto"/>
            <w:left w:val="none" w:sz="0" w:space="0" w:color="auto"/>
            <w:bottom w:val="none" w:sz="0" w:space="0" w:color="auto"/>
            <w:right w:val="none" w:sz="0" w:space="0" w:color="auto"/>
          </w:divBdr>
        </w:div>
        <w:div w:id="1753552299">
          <w:marLeft w:val="0"/>
          <w:marRight w:val="0"/>
          <w:marTop w:val="0"/>
          <w:marBottom w:val="0"/>
          <w:divBdr>
            <w:top w:val="none" w:sz="0" w:space="0" w:color="auto"/>
            <w:left w:val="none" w:sz="0" w:space="0" w:color="auto"/>
            <w:bottom w:val="none" w:sz="0" w:space="0" w:color="auto"/>
            <w:right w:val="none" w:sz="0" w:space="0" w:color="auto"/>
          </w:divBdr>
        </w:div>
      </w:divsChild>
    </w:div>
    <w:div w:id="2120101007">
      <w:bodyDiv w:val="1"/>
      <w:marLeft w:val="0"/>
      <w:marRight w:val="0"/>
      <w:marTop w:val="0"/>
      <w:marBottom w:val="0"/>
      <w:divBdr>
        <w:top w:val="none" w:sz="0" w:space="0" w:color="auto"/>
        <w:left w:val="none" w:sz="0" w:space="0" w:color="auto"/>
        <w:bottom w:val="none" w:sz="0" w:space="0" w:color="auto"/>
        <w:right w:val="none" w:sz="0" w:space="0" w:color="auto"/>
      </w:divBdr>
      <w:divsChild>
        <w:div w:id="571085605">
          <w:marLeft w:val="0"/>
          <w:marRight w:val="0"/>
          <w:marTop w:val="0"/>
          <w:marBottom w:val="0"/>
          <w:divBdr>
            <w:top w:val="none" w:sz="0" w:space="0" w:color="auto"/>
            <w:left w:val="none" w:sz="0" w:space="0" w:color="auto"/>
            <w:bottom w:val="none" w:sz="0" w:space="0" w:color="auto"/>
            <w:right w:val="none" w:sz="0" w:space="0" w:color="auto"/>
          </w:divBdr>
        </w:div>
        <w:div w:id="270087678">
          <w:marLeft w:val="0"/>
          <w:marRight w:val="0"/>
          <w:marTop w:val="0"/>
          <w:marBottom w:val="0"/>
          <w:divBdr>
            <w:top w:val="none" w:sz="0" w:space="0" w:color="auto"/>
            <w:left w:val="none" w:sz="0" w:space="0" w:color="auto"/>
            <w:bottom w:val="none" w:sz="0" w:space="0" w:color="auto"/>
            <w:right w:val="none" w:sz="0" w:space="0" w:color="auto"/>
          </w:divBdr>
        </w:div>
        <w:div w:id="1875534298">
          <w:marLeft w:val="0"/>
          <w:marRight w:val="0"/>
          <w:marTop w:val="0"/>
          <w:marBottom w:val="0"/>
          <w:divBdr>
            <w:top w:val="none" w:sz="0" w:space="0" w:color="auto"/>
            <w:left w:val="none" w:sz="0" w:space="0" w:color="auto"/>
            <w:bottom w:val="none" w:sz="0" w:space="0" w:color="auto"/>
            <w:right w:val="none" w:sz="0" w:space="0" w:color="auto"/>
          </w:divBdr>
        </w:div>
        <w:div w:id="41913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Jantea@uth.tm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H.Wootton@uth.tmc.edu" TargetMode="External"/><Relationship Id="rId5" Type="http://schemas.openxmlformats.org/officeDocument/2006/relationships/hyperlink" Target="https://www.aamc.org/news/wellbe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Chiadika, Olasimbo M</dc:creator>
  <cp:keywords/>
  <dc:description/>
  <cp:lastModifiedBy>Guerrero, Valerie Z</cp:lastModifiedBy>
  <cp:revision>6</cp:revision>
  <dcterms:created xsi:type="dcterms:W3CDTF">2023-06-26T16:33:00Z</dcterms:created>
  <dcterms:modified xsi:type="dcterms:W3CDTF">2023-07-19T21:20:00Z</dcterms:modified>
</cp:coreProperties>
</file>